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4CA52EA7"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#10</w:t>
      </w:r>
      <w:r w:rsidR="00DC19BB">
        <w:rPr>
          <w:rFonts w:ascii="Arial" w:hAnsi="Arial" w:cs="Arial"/>
          <w:b/>
          <w:bCs/>
          <w:sz w:val="28"/>
        </w:rPr>
        <w:t>9</w:t>
      </w:r>
      <w:r w:rsidRPr="006B4B4A">
        <w:rPr>
          <w:rFonts w:ascii="Arial" w:hAnsi="Arial" w:cs="Arial"/>
          <w:b/>
          <w:bCs/>
          <w:sz w:val="28"/>
        </w:rPr>
        <w:t>-e</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874636" w:rsidRPr="0034358D">
        <w:rPr>
          <w:rFonts w:ascii="Arial" w:hAnsi="Arial" w:cs="Arial"/>
          <w:b/>
          <w:bCs/>
          <w:sz w:val="28"/>
        </w:rPr>
        <w:t>R1-22</w:t>
      </w:r>
      <w:r w:rsidR="00066029" w:rsidRPr="0034358D">
        <w:rPr>
          <w:rFonts w:ascii="Arial" w:hAnsi="Arial" w:cs="Arial"/>
          <w:b/>
          <w:bCs/>
          <w:sz w:val="28"/>
        </w:rPr>
        <w:t>04711</w:t>
      </w:r>
      <w:r w:rsidR="00B97E2E" w:rsidRPr="006B4B4A">
        <w:rPr>
          <w:rFonts w:ascii="Arial" w:hAnsi="Arial" w:cs="Arial"/>
          <w:b/>
          <w:bCs/>
          <w:color w:val="000000" w:themeColor="text1"/>
          <w:sz w:val="28"/>
        </w:rPr>
        <w:t xml:space="preserve"> </w:t>
      </w:r>
      <w:r w:rsidR="000756C4" w:rsidRPr="00A80D3B">
        <w:rPr>
          <w:rFonts w:ascii="Arial" w:eastAsia="MS Mincho" w:hAnsi="Arial" w:cs="Arial"/>
          <w:b/>
          <w:bCs/>
          <w:sz w:val="28"/>
          <w:lang w:eastAsia="ja-JP"/>
        </w:rPr>
        <w:t xml:space="preserve">e-Meeting, May </w:t>
      </w:r>
      <w:r w:rsidR="000756C4">
        <w:rPr>
          <w:rFonts w:ascii="Arial" w:eastAsia="MS Mincho" w:hAnsi="Arial" w:cs="Arial"/>
          <w:b/>
          <w:bCs/>
          <w:sz w:val="28"/>
          <w:lang w:eastAsia="ja-JP"/>
        </w:rPr>
        <w:t>9</w:t>
      </w:r>
      <w:r w:rsidR="000756C4" w:rsidRPr="00A80D3B">
        <w:rPr>
          <w:rFonts w:ascii="Arial" w:eastAsia="MS Mincho" w:hAnsi="Arial" w:cs="Arial"/>
          <w:b/>
          <w:bCs/>
          <w:sz w:val="28"/>
          <w:vertAlign w:val="superscript"/>
          <w:lang w:eastAsia="ja-JP"/>
        </w:rPr>
        <w:t>th</w:t>
      </w:r>
      <w:r w:rsidR="000756C4" w:rsidRPr="00A80D3B">
        <w:rPr>
          <w:rFonts w:ascii="Arial" w:eastAsia="MS Mincho" w:hAnsi="Arial" w:cs="Arial"/>
          <w:b/>
          <w:bCs/>
          <w:sz w:val="28"/>
          <w:lang w:eastAsia="ja-JP"/>
        </w:rPr>
        <w:t xml:space="preserve"> – 2</w:t>
      </w:r>
      <w:r w:rsidR="000756C4">
        <w:rPr>
          <w:rFonts w:ascii="Arial" w:eastAsia="MS Mincho" w:hAnsi="Arial" w:cs="Arial"/>
          <w:b/>
          <w:bCs/>
          <w:sz w:val="28"/>
          <w:lang w:eastAsia="ja-JP"/>
        </w:rPr>
        <w:t>0</w:t>
      </w:r>
      <w:r w:rsidR="000756C4" w:rsidRPr="00A80D3B">
        <w:rPr>
          <w:rFonts w:ascii="Arial" w:eastAsia="MS Mincho" w:hAnsi="Arial" w:cs="Arial"/>
          <w:b/>
          <w:bCs/>
          <w:sz w:val="28"/>
          <w:vertAlign w:val="superscript"/>
          <w:lang w:eastAsia="ja-JP"/>
        </w:rPr>
        <w:t>th</w:t>
      </w:r>
      <w:r w:rsidR="000756C4" w:rsidRPr="00A80D3B">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1D5ABFF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C14F83" w:rsidRPr="006B4B4A">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4C3F86C9"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615250" w:rsidRPr="006B4B4A">
        <w:rPr>
          <w:rFonts w:ascii="Arial" w:hAnsi="Arial"/>
          <w:sz w:val="24"/>
        </w:rPr>
        <w:t xml:space="preserve">On </w:t>
      </w:r>
      <w:r w:rsidR="00124504">
        <w:rPr>
          <w:rFonts w:ascii="Arial" w:hAnsi="Arial"/>
          <w:sz w:val="24"/>
        </w:rPr>
        <w:t xml:space="preserve">RedCap </w:t>
      </w:r>
      <w:r w:rsidR="008B0699">
        <w:rPr>
          <w:rFonts w:ascii="Arial" w:hAnsi="Arial"/>
          <w:sz w:val="24"/>
        </w:rPr>
        <w:t>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p w14:paraId="4D4E6B4D" w14:textId="6E3456AE" w:rsidR="00041FAC" w:rsidRPr="006B4B4A" w:rsidRDefault="00490E30" w:rsidP="00A81614">
      <w:r>
        <w:t xml:space="preserve">In this contribution, </w:t>
      </w:r>
      <w:r w:rsidR="00042581" w:rsidRPr="006B4B4A">
        <w:t xml:space="preserve">we address </w:t>
      </w:r>
      <w:r>
        <w:t xml:space="preserve">some </w:t>
      </w:r>
      <w:r w:rsidR="00042581" w:rsidRPr="006B4B4A">
        <w:t>remaining issue</w:t>
      </w:r>
      <w:r>
        <w:t xml:space="preserve">s </w:t>
      </w:r>
      <w:r w:rsidRPr="00490E30">
        <w:t>on reduced UE bandwidth</w:t>
      </w:r>
      <w:r w:rsidR="003451E9">
        <w:t xml:space="preserve"> for NR RedCap UEs</w:t>
      </w:r>
      <w:r w:rsidR="00042581" w:rsidRPr="006B4B4A">
        <w:t xml:space="preserve">. </w:t>
      </w:r>
      <w:bookmarkEnd w:id="0"/>
    </w:p>
    <w:p w14:paraId="2951F18E" w14:textId="6049EBA4" w:rsidR="00A3519E" w:rsidRDefault="00643C4E" w:rsidP="00A3519E">
      <w:pPr>
        <w:pStyle w:val="Heading1"/>
      </w:pPr>
      <w:r>
        <w:t xml:space="preserve">Separate </w:t>
      </w:r>
      <w:r w:rsidR="00005912">
        <w:t>i</w:t>
      </w:r>
      <w:r w:rsidR="004122AD">
        <w:t>nitial BWP</w:t>
      </w:r>
    </w:p>
    <w:p w14:paraId="31BD1524" w14:textId="05EA4189" w:rsidR="00BF10AF" w:rsidRPr="00434878" w:rsidRDefault="00434878" w:rsidP="00434878">
      <w:pPr>
        <w:contextualSpacing/>
        <w:rPr>
          <w:rFonts w:asciiTheme="majorBidi" w:hAnsiTheme="majorBidi" w:cstheme="majorBidi"/>
        </w:rPr>
      </w:pPr>
      <w:bookmarkStart w:id="1" w:name="_Ref95761770"/>
      <w:r>
        <w:rPr>
          <w:rFonts w:asciiTheme="majorBidi" w:hAnsiTheme="majorBidi" w:cstheme="majorBidi"/>
        </w:rPr>
        <w:t xml:space="preserve">At </w:t>
      </w:r>
      <w:r w:rsidR="008A644B">
        <w:rPr>
          <w:rFonts w:asciiTheme="majorBidi" w:hAnsiTheme="majorBidi" w:cstheme="majorBidi"/>
        </w:rPr>
        <w:t xml:space="preserve">RAN1 #106-e meeting, the following agreements were made with </w:t>
      </w:r>
      <w:r w:rsidR="00A02950">
        <w:rPr>
          <w:rFonts w:asciiTheme="majorBidi" w:hAnsiTheme="majorBidi" w:cstheme="majorBidi"/>
        </w:rPr>
        <w:t xml:space="preserve">an FFP </w:t>
      </w:r>
      <w:r w:rsidR="008A644B">
        <w:rPr>
          <w:rFonts w:asciiTheme="majorBidi" w:hAnsiTheme="majorBidi" w:cstheme="majorBidi"/>
        </w:rPr>
        <w:t xml:space="preserve">point. </w:t>
      </w:r>
    </w:p>
    <w:tbl>
      <w:tblPr>
        <w:tblStyle w:val="TableGrid"/>
        <w:tblW w:w="0" w:type="auto"/>
        <w:tblLook w:val="04A0" w:firstRow="1" w:lastRow="0" w:firstColumn="1" w:lastColumn="0" w:noHBand="0" w:noVBand="1"/>
      </w:tblPr>
      <w:tblGrid>
        <w:gridCol w:w="9631"/>
      </w:tblGrid>
      <w:tr w:rsidR="00216769" w14:paraId="5988EC77" w14:textId="77777777" w:rsidTr="00216769">
        <w:tc>
          <w:tcPr>
            <w:tcW w:w="9631" w:type="dxa"/>
          </w:tcPr>
          <w:p w14:paraId="4EB8FE77" w14:textId="77777777" w:rsidR="00216769" w:rsidRDefault="00216769" w:rsidP="00216769">
            <w:pPr>
              <w:numPr>
                <w:ilvl w:val="0"/>
                <w:numId w:val="29"/>
              </w:numPr>
              <w:overflowPunct/>
              <w:autoSpaceDE/>
              <w:adjustRightInd/>
              <w:spacing w:after="0" w:line="252" w:lineRule="auto"/>
              <w:ind w:left="720"/>
              <w:contextualSpacing/>
              <w:textAlignment w:val="auto"/>
              <w:rPr>
                <w:rFonts w:asciiTheme="majorBidi" w:hAnsiTheme="majorBidi" w:cstheme="majorBidi"/>
              </w:rPr>
            </w:pPr>
            <w:r>
              <w:rPr>
                <w:rFonts w:asciiTheme="majorBidi" w:hAnsiTheme="majorBidi" w:cstheme="majorBidi"/>
              </w:rPr>
              <w:t>For a cell that allows a RedCap UE to access, network can configure a separate initial DL BWP for RedCap UEs in SIB.</w:t>
            </w:r>
          </w:p>
          <w:p w14:paraId="4D0BD220" w14:textId="6F41C070" w:rsidR="00216769" w:rsidRPr="00216769" w:rsidRDefault="00216769" w:rsidP="00F4145E">
            <w:pPr>
              <w:pStyle w:val="ListParagraph"/>
              <w:numPr>
                <w:ilvl w:val="1"/>
                <w:numId w:val="29"/>
              </w:numPr>
              <w:spacing w:line="252" w:lineRule="auto"/>
              <w:ind w:left="1440" w:firstLineChars="0"/>
              <w:contextualSpacing/>
              <w:rPr>
                <w:rFonts w:asciiTheme="majorBidi" w:hAnsiTheme="majorBidi" w:cstheme="majorBidi"/>
              </w:rPr>
            </w:pPr>
            <w:r>
              <w:rPr>
                <w:rFonts w:asciiTheme="majorBidi" w:hAnsiTheme="majorBidi" w:cstheme="majorBidi"/>
                <w:sz w:val="20"/>
                <w:szCs w:val="20"/>
                <w:highlight w:val="yellow"/>
              </w:rPr>
              <w:t>FFS:</w:t>
            </w:r>
            <w:r>
              <w:rPr>
                <w:rFonts w:asciiTheme="majorBidi" w:hAnsiTheme="majorBidi" w:cstheme="majorBidi"/>
                <w:sz w:val="20"/>
                <w:szCs w:val="20"/>
              </w:rPr>
              <w:t xml:space="preserve"> It is always configured if the initial DL BWP for non-RedCap UEs is wider than the maximum RedCap UE bandwidth.</w:t>
            </w:r>
          </w:p>
        </w:tc>
      </w:tr>
    </w:tbl>
    <w:p w14:paraId="550EF7C4" w14:textId="5B4FA0A5" w:rsidR="00F4145E" w:rsidRDefault="00F4145E" w:rsidP="00F4145E"/>
    <w:p w14:paraId="18D2BC53" w14:textId="1BB06052" w:rsidR="00804C8B" w:rsidRDefault="00804C8B" w:rsidP="00F4145E">
      <w:r>
        <w:rPr>
          <w:rFonts w:hint="eastAsia"/>
        </w:rPr>
        <w:t>A</w:t>
      </w:r>
      <w:r>
        <w:t>t RAN1 #108-e meeting, the following three proposals were exhaustively discussed but no agreement was reached</w:t>
      </w:r>
      <w:r w:rsidR="00AE2E24">
        <w:t xml:space="preserve"> </w:t>
      </w:r>
      <w:r w:rsidR="00AE2E24">
        <w:fldChar w:fldCharType="begin"/>
      </w:r>
      <w:r w:rsidR="00AE2E24">
        <w:instrText xml:space="preserve"> REF _Ref101789663 \n \h </w:instrText>
      </w:r>
      <w:r w:rsidR="00AE2E24">
        <w:fldChar w:fldCharType="separate"/>
      </w:r>
      <w:r w:rsidR="00643339">
        <w:t>[1]</w:t>
      </w:r>
      <w:r w:rsidR="00AE2E24">
        <w:fldChar w:fldCharType="end"/>
      </w:r>
      <w:r>
        <w:t xml:space="preserve">. </w:t>
      </w:r>
    </w:p>
    <w:tbl>
      <w:tblPr>
        <w:tblStyle w:val="TableGrid"/>
        <w:tblW w:w="0" w:type="auto"/>
        <w:tblLook w:val="04A0" w:firstRow="1" w:lastRow="0" w:firstColumn="1" w:lastColumn="0" w:noHBand="0" w:noVBand="1"/>
      </w:tblPr>
      <w:tblGrid>
        <w:gridCol w:w="9631"/>
      </w:tblGrid>
      <w:tr w:rsidR="00244B37" w:rsidRPr="00244B37" w14:paraId="68E2298D" w14:textId="77777777" w:rsidTr="00244B37">
        <w:tc>
          <w:tcPr>
            <w:tcW w:w="9631" w:type="dxa"/>
          </w:tcPr>
          <w:p w14:paraId="4760E84E" w14:textId="77777777" w:rsidR="00244B37" w:rsidRPr="00244B37" w:rsidRDefault="00244B37" w:rsidP="00244B37">
            <w:pPr>
              <w:rPr>
                <w:rFonts w:ascii="Times New Roman" w:hAnsi="Times New Roman"/>
                <w:bCs/>
              </w:rPr>
            </w:pPr>
            <w:r w:rsidRPr="00244B37">
              <w:rPr>
                <w:rFonts w:ascii="Times New Roman" w:hAnsi="Times New Roman"/>
                <w:bCs/>
                <w:highlight w:val="yellow"/>
              </w:rPr>
              <w:t>High Priority Proposal 2-1b</w:t>
            </w:r>
            <w:r w:rsidRPr="00244B37">
              <w:rPr>
                <w:rFonts w:ascii="Times New Roman" w:hAnsi="Times New Roman"/>
                <w:bCs/>
              </w:rPr>
              <w:t>: For the case that the initial DL BWP for non-RedCap UEs is wider than the maximum RedCap UE bandwidth, down-select between the following options during RAN1#108-e:</w:t>
            </w:r>
          </w:p>
          <w:p w14:paraId="6BBCC942" w14:textId="77777777" w:rsidR="00244B37" w:rsidRPr="00244B37" w:rsidRDefault="00244B37" w:rsidP="00244B37">
            <w:pPr>
              <w:pStyle w:val="ListParagraph"/>
              <w:numPr>
                <w:ilvl w:val="0"/>
                <w:numId w:val="35"/>
              </w:numPr>
              <w:spacing w:after="180" w:line="252" w:lineRule="auto"/>
              <w:ind w:firstLineChars="0"/>
              <w:contextualSpacing/>
              <w:jc w:val="both"/>
              <w:rPr>
                <w:rFonts w:ascii="Times New Roman" w:hAnsi="Times New Roman"/>
                <w:bCs/>
                <w:sz w:val="20"/>
                <w:szCs w:val="20"/>
              </w:rPr>
            </w:pPr>
            <w:r w:rsidRPr="00244B37">
              <w:rPr>
                <w:rFonts w:ascii="Times New Roman" w:hAnsi="Times New Roman"/>
                <w:bCs/>
                <w:sz w:val="20"/>
                <w:szCs w:val="20"/>
              </w:rPr>
              <w:t>Option 1: A separate initial DL BWP is always configured for RedCap if the initial DL BWP for non-RedCap UEs is wider than the maximum RedCap UE bandwidth.</w:t>
            </w:r>
          </w:p>
          <w:p w14:paraId="4481C969" w14:textId="39077D7B" w:rsidR="00244B37" w:rsidRPr="00244B37" w:rsidRDefault="00244B37" w:rsidP="00244B37">
            <w:pPr>
              <w:pStyle w:val="ListParagraph"/>
              <w:numPr>
                <w:ilvl w:val="0"/>
                <w:numId w:val="35"/>
              </w:numPr>
              <w:spacing w:after="180" w:line="252" w:lineRule="auto"/>
              <w:ind w:firstLineChars="0"/>
              <w:contextualSpacing/>
              <w:jc w:val="both"/>
              <w:rPr>
                <w:rFonts w:ascii="Times New Roman" w:hAnsi="Times New Roman"/>
                <w:bCs/>
                <w:sz w:val="20"/>
                <w:szCs w:val="20"/>
              </w:rPr>
            </w:pPr>
            <w:r w:rsidRPr="00244B37">
              <w:rPr>
                <w:rFonts w:ascii="Times New Roman" w:hAnsi="Times New Roman"/>
                <w:bCs/>
                <w:sz w:val="20"/>
                <w:szCs w:val="20"/>
              </w:rPr>
              <w:t>Option 2</w:t>
            </w:r>
            <w:r w:rsidR="002A763D">
              <w:rPr>
                <w:rFonts w:ascii="Times New Roman" w:hAnsi="Times New Roman"/>
                <w:bCs/>
                <w:sz w:val="20"/>
                <w:szCs w:val="20"/>
              </w:rPr>
              <w:t>a</w:t>
            </w:r>
            <w:r w:rsidRPr="00244B37">
              <w:rPr>
                <w:rFonts w:ascii="Times New Roman" w:hAnsi="Times New Roman"/>
                <w:bCs/>
                <w:sz w:val="20"/>
                <w:szCs w:val="20"/>
              </w:rPr>
              <w:t>: If a separate initial DL BWP is not configured for RedCap, the RedCap UE continues to use at least the location, bandwidth, SCS, and cyclic prefix of the MIB-configured CORESET#0.</w:t>
            </w:r>
          </w:p>
          <w:p w14:paraId="4218924B" w14:textId="2431D119" w:rsidR="00244B37" w:rsidRPr="00244B37" w:rsidRDefault="00244B37" w:rsidP="00244B37">
            <w:pPr>
              <w:pStyle w:val="ListParagraph"/>
              <w:numPr>
                <w:ilvl w:val="1"/>
                <w:numId w:val="35"/>
              </w:numPr>
              <w:spacing w:after="180" w:line="252" w:lineRule="auto"/>
              <w:ind w:firstLineChars="0"/>
              <w:contextualSpacing/>
              <w:jc w:val="both"/>
              <w:rPr>
                <w:rFonts w:ascii="Times New Roman" w:hAnsi="Times New Roman"/>
                <w:bCs/>
                <w:sz w:val="20"/>
                <w:szCs w:val="20"/>
              </w:rPr>
            </w:pPr>
            <w:r w:rsidRPr="00244B37">
              <w:rPr>
                <w:rFonts w:ascii="Times New Roman" w:hAnsi="Times New Roman"/>
                <w:bCs/>
                <w:sz w:val="20"/>
                <w:szCs w:val="20"/>
              </w:rPr>
              <w:t>For TDD, the total frequency span of MIB-configured CORESET#0 and the initial UL BWP does not exceed the RedCap UE maximum bandwidth.</w:t>
            </w:r>
          </w:p>
          <w:p w14:paraId="777EB09C" w14:textId="58BA646D" w:rsidR="00244B37" w:rsidRPr="00244B37" w:rsidRDefault="00244B37" w:rsidP="00244B37">
            <w:pPr>
              <w:pStyle w:val="ListParagraph"/>
              <w:numPr>
                <w:ilvl w:val="0"/>
                <w:numId w:val="35"/>
              </w:numPr>
              <w:spacing w:after="180" w:line="252" w:lineRule="auto"/>
              <w:ind w:firstLineChars="0"/>
              <w:contextualSpacing/>
              <w:jc w:val="both"/>
              <w:rPr>
                <w:rFonts w:ascii="Times New Roman" w:hAnsi="Times New Roman"/>
                <w:bCs/>
                <w:sz w:val="20"/>
                <w:szCs w:val="20"/>
              </w:rPr>
            </w:pPr>
            <w:r w:rsidRPr="00244B37">
              <w:rPr>
                <w:rFonts w:ascii="Times New Roman" w:hAnsi="Times New Roman"/>
                <w:bCs/>
                <w:sz w:val="20"/>
                <w:szCs w:val="20"/>
              </w:rPr>
              <w:t>Option 2</w:t>
            </w:r>
            <w:r w:rsidR="003855D3">
              <w:rPr>
                <w:rFonts w:ascii="Times New Roman" w:hAnsi="Times New Roman"/>
                <w:bCs/>
                <w:sz w:val="20"/>
                <w:szCs w:val="20"/>
              </w:rPr>
              <w:t>b</w:t>
            </w:r>
            <w:r w:rsidRPr="00244B37">
              <w:rPr>
                <w:rFonts w:ascii="Times New Roman" w:hAnsi="Times New Roman"/>
                <w:bCs/>
                <w:sz w:val="20"/>
                <w:szCs w:val="20"/>
              </w:rPr>
              <w:t>: If a separate initial DL BWP is not configured for RedCap, the RedCap UE continues to use at least the location, bandwidth, SCS, and cyclic prefix of the MIB-configured CORESET#0.</w:t>
            </w:r>
          </w:p>
          <w:p w14:paraId="48CC839E" w14:textId="2767429A" w:rsidR="00244B37" w:rsidRPr="00244B37" w:rsidRDefault="00244B37" w:rsidP="00244B37">
            <w:pPr>
              <w:pStyle w:val="ListParagraph"/>
              <w:numPr>
                <w:ilvl w:val="1"/>
                <w:numId w:val="35"/>
              </w:numPr>
              <w:spacing w:after="180" w:line="252" w:lineRule="auto"/>
              <w:ind w:firstLineChars="0"/>
              <w:contextualSpacing/>
              <w:jc w:val="both"/>
              <w:rPr>
                <w:rFonts w:ascii="Times New Roman" w:hAnsi="Times New Roman"/>
                <w:bCs/>
                <w:sz w:val="20"/>
                <w:szCs w:val="20"/>
              </w:rPr>
            </w:pPr>
            <w:r w:rsidRPr="00244B37">
              <w:rPr>
                <w:rFonts w:ascii="Times New Roman" w:hAnsi="Times New Roman"/>
                <w:bCs/>
                <w:sz w:val="20"/>
                <w:szCs w:val="20"/>
              </w:rPr>
              <w:t>For TDD, the center frequencies of the MIB-configured CORESET#0 and the initial UL BWP are</w:t>
            </w:r>
            <w:r w:rsidRPr="00244B37">
              <w:rPr>
                <w:rFonts w:ascii="Times New Roman" w:hAnsi="Times New Roman"/>
                <w:bCs/>
                <w:color w:val="FF0000"/>
                <w:sz w:val="20"/>
                <w:szCs w:val="20"/>
              </w:rPr>
              <w:t xml:space="preserve"> </w:t>
            </w:r>
            <w:r w:rsidRPr="00244B37">
              <w:rPr>
                <w:rFonts w:ascii="Times New Roman" w:hAnsi="Times New Roman"/>
                <w:bCs/>
                <w:sz w:val="20"/>
                <w:szCs w:val="20"/>
              </w:rPr>
              <w:t>aligned.</w:t>
            </w:r>
          </w:p>
        </w:tc>
      </w:tr>
    </w:tbl>
    <w:p w14:paraId="300FA21F" w14:textId="0022595C" w:rsidR="005B5B15" w:rsidRDefault="005B5B15" w:rsidP="00F4145E"/>
    <w:p w14:paraId="40CAD1BF" w14:textId="1122DA69" w:rsidR="00777FBE" w:rsidRDefault="00777FBE" w:rsidP="00F4145E">
      <w:r>
        <w:rPr>
          <w:rFonts w:hint="eastAsia"/>
        </w:rPr>
        <w:t>A</w:t>
      </w:r>
      <w:r>
        <w:t>t RAN2 #117e meeting, the following agreements were made.</w:t>
      </w:r>
    </w:p>
    <w:tbl>
      <w:tblPr>
        <w:tblStyle w:val="TableGrid"/>
        <w:tblW w:w="0" w:type="auto"/>
        <w:tblLook w:val="04A0" w:firstRow="1" w:lastRow="0" w:firstColumn="1" w:lastColumn="0" w:noHBand="0" w:noVBand="1"/>
      </w:tblPr>
      <w:tblGrid>
        <w:gridCol w:w="9631"/>
      </w:tblGrid>
      <w:tr w:rsidR="00777FBE" w14:paraId="754BA9A8" w14:textId="77777777" w:rsidTr="00777FBE">
        <w:tc>
          <w:tcPr>
            <w:tcW w:w="9631" w:type="dxa"/>
          </w:tcPr>
          <w:p w14:paraId="1BB5DD6F" w14:textId="1C468BA4" w:rsidR="00777FBE" w:rsidRPr="006C6A55" w:rsidRDefault="003B6040" w:rsidP="00F4145E">
            <w:pPr>
              <w:rPr>
                <w:rFonts w:ascii="Times New Roman" w:hAnsi="Times New Roman"/>
              </w:rPr>
            </w:pPr>
            <w:r>
              <w:rPr>
                <w:rFonts w:ascii="Times New Roman" w:hAnsi="Times New Roman"/>
              </w:rPr>
              <w:t>1</w:t>
            </w:r>
            <w:r w:rsidR="00777FBE" w:rsidRPr="006C6A55">
              <w:rPr>
                <w:rFonts w:ascii="Times New Roman" w:hAnsi="Times New Roman"/>
              </w:rPr>
              <w:t>.</w:t>
            </w:r>
            <w:r w:rsidR="00777FBE" w:rsidRPr="006C6A55">
              <w:rPr>
                <w:rFonts w:ascii="Times New Roman" w:hAnsi="Times New Roman"/>
              </w:rPr>
              <w:tab/>
              <w:t>For RedCap-specific BWP, both common and dedicated configurations are provided using full configuration, i.e., delta configuration is not supported.</w:t>
            </w:r>
          </w:p>
          <w:p w14:paraId="19F8B530" w14:textId="7F78DDFC" w:rsidR="004D595A" w:rsidRPr="006C6A55" w:rsidRDefault="003B6040" w:rsidP="00F4145E">
            <w:pPr>
              <w:rPr>
                <w:rFonts w:ascii="Times New Roman" w:hAnsi="Times New Roman"/>
              </w:rPr>
            </w:pPr>
            <w:r>
              <w:rPr>
                <w:rFonts w:ascii="Times New Roman" w:hAnsi="Times New Roman"/>
              </w:rPr>
              <w:t>2</w:t>
            </w:r>
            <w:r w:rsidR="004D595A" w:rsidRPr="006C6A55">
              <w:rPr>
                <w:rFonts w:ascii="Times New Roman" w:hAnsi="Times New Roman"/>
              </w:rPr>
              <w:t>.</w:t>
            </w:r>
            <w:r w:rsidR="004D595A" w:rsidRPr="006C6A55">
              <w:rPr>
                <w:rFonts w:ascii="Times New Roman" w:hAnsi="Times New Roman"/>
              </w:rPr>
              <w:tab/>
              <w:t xml:space="preserve">In case RedCap-specific initial DL BWP contains CD-SSB and CORESET#0, </w:t>
            </w:r>
            <w:r w:rsidR="004D595A" w:rsidRPr="006040DD">
              <w:rPr>
                <w:rFonts w:ascii="Times New Roman" w:hAnsi="Times New Roman"/>
                <w:i/>
                <w:iCs/>
              </w:rPr>
              <w:t>PDCCH-ConfigCommon</w:t>
            </w:r>
            <w:r w:rsidR="004D595A" w:rsidRPr="006C6A55">
              <w:rPr>
                <w:rFonts w:ascii="Times New Roman" w:hAnsi="Times New Roman"/>
              </w:rPr>
              <w:t xml:space="preserve"> is included in the configuration of RedCap-specific initial DL BWP. RedCap UEs don't need to read the PDCCH-ConfigCommon configuration from legacy initial BWP if RedCap-specific initial BWP is signalled</w:t>
            </w:r>
          </w:p>
        </w:tc>
      </w:tr>
    </w:tbl>
    <w:p w14:paraId="4BC57733" w14:textId="77777777" w:rsidR="00087B03" w:rsidRDefault="00087B03" w:rsidP="00F4145E"/>
    <w:p w14:paraId="00C6221C" w14:textId="68EDCF86" w:rsidR="006B1883" w:rsidRDefault="005825BB" w:rsidP="00F4145E">
      <w:pPr>
        <w:rPr>
          <w:rFonts w:eastAsiaTheme="minorEastAsia"/>
          <w:lang w:eastAsia="zh-TW"/>
        </w:rPr>
      </w:pPr>
      <w:r>
        <w:rPr>
          <w:rFonts w:hint="eastAsia"/>
        </w:rPr>
        <w:t>T</w:t>
      </w:r>
      <w:r>
        <w:t>hough Option 1 mandates the network to always configure an initial DL BWP in SIB1 for the case under discussion, the specification impact</w:t>
      </w:r>
      <w:r w:rsidR="00F454C2">
        <w:t xml:space="preserve"> with Option 1</w:t>
      </w:r>
      <w:r>
        <w:t xml:space="preserve"> is </w:t>
      </w:r>
      <w:r w:rsidR="008975EB">
        <w:t>not as significant as</w:t>
      </w:r>
      <w:r>
        <w:t xml:space="preserve"> </w:t>
      </w:r>
      <w:r w:rsidR="00F454C2">
        <w:t xml:space="preserve">that with </w:t>
      </w:r>
      <w:r>
        <w:t xml:space="preserve">the other two options. In the </w:t>
      </w:r>
      <w:r w:rsidR="002A3246">
        <w:t xml:space="preserve">current </w:t>
      </w:r>
      <w:r>
        <w:t xml:space="preserve">specification, common search space sets such as </w:t>
      </w:r>
      <w:r w:rsidR="00796288" w:rsidRPr="00796288">
        <w:rPr>
          <w:i/>
          <w:iCs/>
        </w:rPr>
        <w:t>p</w:t>
      </w:r>
      <w:r w:rsidRPr="00796288">
        <w:rPr>
          <w:i/>
          <w:iCs/>
        </w:rPr>
        <w:t>agingSearchSpace</w:t>
      </w:r>
      <w:r>
        <w:t xml:space="preserve"> and </w:t>
      </w:r>
      <w:r w:rsidRPr="00903F56">
        <w:rPr>
          <w:i/>
          <w:iCs/>
        </w:rPr>
        <w:t>ra-SearchSpace</w:t>
      </w:r>
      <w:r>
        <w:t xml:space="preserve"> are configured under </w:t>
      </w:r>
      <w:r w:rsidRPr="00772BFA">
        <w:rPr>
          <w:i/>
          <w:iCs/>
        </w:rPr>
        <w:t>pdcch-ConfigCommon</w:t>
      </w:r>
      <w:r>
        <w:t xml:space="preserve"> which </w:t>
      </w:r>
      <w:r w:rsidR="00C96243">
        <w:t xml:space="preserve">can only be configured under </w:t>
      </w:r>
      <w:r w:rsidR="00C96243" w:rsidRPr="00617663">
        <w:rPr>
          <w:i/>
          <w:iCs/>
        </w:rPr>
        <w:t>BWP-DownlinkCommon</w:t>
      </w:r>
      <w:r w:rsidR="00C96243">
        <w:t xml:space="preserve">. </w:t>
      </w:r>
      <w:r w:rsidR="000642F5">
        <w:t xml:space="preserve">If Option 2a or 2b is agreed, </w:t>
      </w:r>
      <w:r w:rsidR="00C629F3">
        <w:t xml:space="preserve">it is not </w:t>
      </w:r>
      <w:r w:rsidR="00C629F3">
        <w:lastRenderedPageBreak/>
        <w:t xml:space="preserve">clear how </w:t>
      </w:r>
      <w:r w:rsidR="00827AE6">
        <w:t xml:space="preserve">these CCS sets are configured to UE. </w:t>
      </w:r>
      <w:r w:rsidR="00216781">
        <w:t xml:space="preserve">Proponents for Option 2a and 2b may propose </w:t>
      </w:r>
      <w:r w:rsidR="00216781" w:rsidRPr="002433BC">
        <w:t>that</w:t>
      </w:r>
      <w:r w:rsidR="00F2021B" w:rsidRPr="002433BC">
        <w:t xml:space="preserve"> RedCap UEs</w:t>
      </w:r>
      <w:r w:rsidR="0095531D" w:rsidRPr="002433BC">
        <w:t xml:space="preserve"> can apply the</w:t>
      </w:r>
      <w:r w:rsidR="0095531D">
        <w:t xml:space="preserve"> </w:t>
      </w:r>
      <w:r w:rsidR="005F3354" w:rsidRPr="00D70AB4">
        <w:rPr>
          <w:i/>
          <w:iCs/>
        </w:rPr>
        <w:t>pdcch-ConfigCommon</w:t>
      </w:r>
      <w:r w:rsidR="009A17F3">
        <w:rPr>
          <w:rFonts w:eastAsiaTheme="minorEastAsia"/>
          <w:lang w:eastAsia="zh-TW"/>
        </w:rPr>
        <w:t xml:space="preserve"> </w:t>
      </w:r>
      <w:r w:rsidR="0095531D">
        <w:rPr>
          <w:rFonts w:eastAsiaTheme="minorEastAsia" w:hint="eastAsia"/>
          <w:lang w:eastAsia="zh-TW"/>
        </w:rPr>
        <w:t>i</w:t>
      </w:r>
      <w:r w:rsidR="0095531D">
        <w:rPr>
          <w:rFonts w:eastAsiaTheme="minorEastAsia"/>
          <w:lang w:eastAsia="zh-TW"/>
        </w:rPr>
        <w:t xml:space="preserve">n the </w:t>
      </w:r>
      <w:r w:rsidR="0095531D" w:rsidRPr="001D607D">
        <w:rPr>
          <w:rFonts w:eastAsiaTheme="minorEastAsia"/>
          <w:i/>
          <w:iCs/>
          <w:lang w:eastAsia="zh-TW"/>
        </w:rPr>
        <w:t>initialD</w:t>
      </w:r>
      <w:r w:rsidR="001D607D" w:rsidRPr="001D607D">
        <w:rPr>
          <w:rFonts w:eastAsiaTheme="minorEastAsia"/>
          <w:i/>
          <w:iCs/>
          <w:lang w:eastAsia="zh-TW"/>
        </w:rPr>
        <w:t>ownlink</w:t>
      </w:r>
      <w:r w:rsidR="0095531D" w:rsidRPr="001D607D">
        <w:rPr>
          <w:rFonts w:eastAsiaTheme="minorEastAsia"/>
          <w:i/>
          <w:iCs/>
          <w:lang w:eastAsia="zh-TW"/>
        </w:rPr>
        <w:t>BWP</w:t>
      </w:r>
      <w:r w:rsidR="0095531D">
        <w:rPr>
          <w:rFonts w:eastAsiaTheme="minorEastAsia"/>
          <w:lang w:eastAsia="zh-TW"/>
        </w:rPr>
        <w:t xml:space="preserve"> for non-RedCap UEs</w:t>
      </w:r>
      <w:r w:rsidR="00CB6919">
        <w:rPr>
          <w:rFonts w:eastAsiaTheme="minorEastAsia"/>
          <w:lang w:eastAsia="zh-TW"/>
        </w:rPr>
        <w:t>.</w:t>
      </w:r>
      <w:r w:rsidR="006E7B7B">
        <w:rPr>
          <w:rFonts w:eastAsiaTheme="minorEastAsia"/>
          <w:lang w:eastAsia="zh-TW"/>
        </w:rPr>
        <w:t xml:space="preserve"> </w:t>
      </w:r>
      <w:r w:rsidR="006B7ED8">
        <w:rPr>
          <w:rFonts w:eastAsiaTheme="minorEastAsia"/>
          <w:lang w:eastAsia="zh-TW"/>
        </w:rPr>
        <w:t xml:space="preserve"> </w:t>
      </w:r>
    </w:p>
    <w:p w14:paraId="14A3B3ED" w14:textId="5E0E0CC4" w:rsidR="008D1523" w:rsidRDefault="006B1883" w:rsidP="008D1523">
      <w:pPr>
        <w:pStyle w:val="Caption"/>
        <w:rPr>
          <w:i/>
          <w:iCs/>
        </w:rPr>
      </w:pPr>
      <w:bookmarkStart w:id="2" w:name="_Ref101788930"/>
      <w:r w:rsidRPr="00997980">
        <w:t xml:space="preserve">Observation </w:t>
      </w:r>
      <w:fldSimple w:instr=" SEQ Observation \* ARABIC ">
        <w:r w:rsidR="00643339">
          <w:rPr>
            <w:noProof/>
          </w:rPr>
          <w:t>1</w:t>
        </w:r>
      </w:fldSimple>
      <w:r w:rsidRPr="00997980">
        <w:t>:</w:t>
      </w:r>
      <w:r>
        <w:t xml:space="preserve"> Common search space (CSS) sets such as Type1-PDCCH (</w:t>
      </w:r>
      <w:r>
        <w:rPr>
          <w:i/>
          <w:iCs/>
        </w:rPr>
        <w:t>ra-SearchSpace</w:t>
      </w:r>
      <w:r>
        <w:t xml:space="preserve">) and Type2-PDCCH (i.e. </w:t>
      </w:r>
      <w:r>
        <w:rPr>
          <w:i/>
          <w:iCs/>
        </w:rPr>
        <w:t xml:space="preserve">pagingSearchSpace) are configured by </w:t>
      </w:r>
      <w:r w:rsidRPr="00CC21E9">
        <w:rPr>
          <w:i/>
          <w:iCs/>
        </w:rPr>
        <w:t>pdcch-ConfigCommo</w:t>
      </w:r>
      <w:r>
        <w:rPr>
          <w:i/>
          <w:iCs/>
        </w:rPr>
        <w:t xml:space="preserve">n </w:t>
      </w:r>
      <w:r w:rsidRPr="0064597D">
        <w:t>which</w:t>
      </w:r>
      <w:r>
        <w:rPr>
          <w:i/>
          <w:iCs/>
        </w:rPr>
        <w:t xml:space="preserve"> </w:t>
      </w:r>
      <w:r>
        <w:t xml:space="preserve">is a child IE of </w:t>
      </w:r>
      <w:r w:rsidRPr="00067E6E">
        <w:rPr>
          <w:i/>
          <w:iCs/>
        </w:rPr>
        <w:t>BWP-DownlinkCommon</w:t>
      </w:r>
      <w:r>
        <w:rPr>
          <w:i/>
          <w:iCs/>
        </w:rPr>
        <w:t>.</w:t>
      </w:r>
      <w:bookmarkEnd w:id="2"/>
    </w:p>
    <w:p w14:paraId="354CE860" w14:textId="508EE2E8" w:rsidR="008D1523" w:rsidRPr="00841439" w:rsidRDefault="006B1883" w:rsidP="008D1523">
      <w:pPr>
        <w:pStyle w:val="Caption"/>
      </w:pPr>
      <w:r>
        <w:rPr>
          <w:i/>
          <w:iCs/>
        </w:rPr>
        <w:t xml:space="preserve"> </w:t>
      </w:r>
    </w:p>
    <w:p w14:paraId="35E1A633" w14:textId="47DFBA78" w:rsidR="008D1523" w:rsidRPr="00097684" w:rsidRDefault="008D1523" w:rsidP="00097684">
      <w:pPr>
        <w:pStyle w:val="Caption"/>
      </w:pPr>
      <w:bookmarkStart w:id="3" w:name="_Ref101788963"/>
      <w:r w:rsidRPr="00997980">
        <w:t xml:space="preserve">Proposal </w:t>
      </w:r>
      <w:fldSimple w:instr=" SEQ Proposal \* ARABIC ">
        <w:r w:rsidR="00643339">
          <w:rPr>
            <w:noProof/>
          </w:rPr>
          <w:t>1</w:t>
        </w:r>
      </w:fldSimple>
      <w:r w:rsidRPr="00997980">
        <w:t>:</w:t>
      </w:r>
      <w:r>
        <w:t xml:space="preserve"> When the initial DL BWP for non-RedCap UEs is wider than RedCap UE’s maximum bandwidth, </w:t>
      </w:r>
      <w:r w:rsidR="00C7644E" w:rsidRPr="00C7644E">
        <w:t xml:space="preserve">RedCap UEs don't need to read the </w:t>
      </w:r>
      <w:r w:rsidR="00C7644E" w:rsidRPr="00705CDF">
        <w:rPr>
          <w:i/>
          <w:iCs/>
        </w:rPr>
        <w:t xml:space="preserve">PDCCH-ConfigCommon </w:t>
      </w:r>
      <w:r w:rsidR="00C7644E" w:rsidRPr="00C7644E">
        <w:t xml:space="preserve">configuration from </w:t>
      </w:r>
      <w:r w:rsidR="004D3939">
        <w:t>the</w:t>
      </w:r>
      <w:r w:rsidR="00C7644E" w:rsidRPr="00C7644E">
        <w:t xml:space="preserve"> initial </w:t>
      </w:r>
      <w:r w:rsidR="004D3939">
        <w:t xml:space="preserve">DL </w:t>
      </w:r>
      <w:r w:rsidR="00C7644E" w:rsidRPr="00C7644E">
        <w:t>BWP</w:t>
      </w:r>
      <w:r w:rsidR="004D3939">
        <w:t xml:space="preserve"> configured for non-RedCap UEs</w:t>
      </w:r>
      <w:r>
        <w:t>.</w:t>
      </w:r>
      <w:bookmarkEnd w:id="3"/>
      <w:r>
        <w:t xml:space="preserve"> </w:t>
      </w:r>
    </w:p>
    <w:p w14:paraId="4FBD3DFF" w14:textId="3F4ED8FB" w:rsidR="00D316E1" w:rsidRPr="00912321" w:rsidRDefault="00F2021B" w:rsidP="007E5C17">
      <w:pPr>
        <w:jc w:val="center"/>
        <w:rPr>
          <w:rFonts w:eastAsiaTheme="minorEastAsia"/>
          <w:lang w:eastAsia="zh-TW"/>
        </w:rPr>
      </w:pPr>
      <w:r>
        <w:rPr>
          <w:noProof/>
        </w:rPr>
        <w:drawing>
          <wp:inline distT="0" distB="0" distL="0" distR="0" wp14:anchorId="41E56855" wp14:editId="0DD74056">
            <wp:extent cx="6047298" cy="17849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70"/>
                    <a:stretch/>
                  </pic:blipFill>
                  <pic:spPr bwMode="auto">
                    <a:xfrm>
                      <a:off x="0" y="0"/>
                      <a:ext cx="6047298" cy="1784985"/>
                    </a:xfrm>
                    <a:prstGeom prst="rect">
                      <a:avLst/>
                    </a:prstGeom>
                    <a:noFill/>
                    <a:ln>
                      <a:noFill/>
                    </a:ln>
                    <a:extLst>
                      <a:ext uri="{53640926-AAD7-44D8-BBD7-CCE9431645EC}">
                        <a14:shadowObscured xmlns:a14="http://schemas.microsoft.com/office/drawing/2010/main"/>
                      </a:ext>
                    </a:extLst>
                  </pic:spPr>
                </pic:pic>
              </a:graphicData>
            </a:graphic>
          </wp:inline>
        </w:drawing>
      </w:r>
    </w:p>
    <w:p w14:paraId="1B8A5095" w14:textId="635A21D7" w:rsidR="00D70AB4" w:rsidRDefault="00D70AB4" w:rsidP="007E5C17">
      <w:pPr>
        <w:jc w:val="center"/>
      </w:pPr>
      <w:r>
        <w:rPr>
          <w:noProof/>
        </w:rPr>
        <w:drawing>
          <wp:inline distT="0" distB="0" distL="0" distR="0" wp14:anchorId="7E4AD088" wp14:editId="611ADDC8">
            <wp:extent cx="6069600" cy="1256400"/>
            <wp:effectExtent l="0" t="0" r="762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8776"/>
                    <a:stretch/>
                  </pic:blipFill>
                  <pic:spPr bwMode="auto">
                    <a:xfrm>
                      <a:off x="0" y="0"/>
                      <a:ext cx="6069600" cy="1256400"/>
                    </a:xfrm>
                    <a:prstGeom prst="rect">
                      <a:avLst/>
                    </a:prstGeom>
                    <a:noFill/>
                    <a:ln>
                      <a:noFill/>
                    </a:ln>
                    <a:extLst>
                      <a:ext uri="{53640926-AAD7-44D8-BBD7-CCE9431645EC}">
                        <a14:shadowObscured xmlns:a14="http://schemas.microsoft.com/office/drawing/2010/main"/>
                      </a:ext>
                    </a:extLst>
                  </pic:spPr>
                </pic:pic>
              </a:graphicData>
            </a:graphic>
          </wp:inline>
        </w:drawing>
      </w:r>
    </w:p>
    <w:p w14:paraId="23A7BF9B" w14:textId="5551C954" w:rsidR="00D316E1" w:rsidRDefault="00D316E1" w:rsidP="00F4145E"/>
    <w:p w14:paraId="73D80781" w14:textId="2F9ABF9F" w:rsidR="005161DB" w:rsidRPr="005161DB" w:rsidRDefault="00F4583D" w:rsidP="005161DB">
      <w:r>
        <w:t xml:space="preserve">Similarly, </w:t>
      </w:r>
      <w:r w:rsidR="009466C4">
        <w:t>w</w:t>
      </w:r>
      <w:r w:rsidR="009466C4" w:rsidRPr="009466C4">
        <w:t>hen the initial DL BWP for non-RedCap UEs is wider than RedCap UE’s maximum bandwidth and the RedCap-specific initial DL BWP does not contain CD-S</w:t>
      </w:r>
      <w:r w:rsidR="00BE1DAE">
        <w:t xml:space="preserve">SB and CORESET#0, </w:t>
      </w:r>
      <w:r w:rsidR="00E90F16">
        <w:t xml:space="preserve">it is not clear how </w:t>
      </w:r>
      <w:r w:rsidR="00E90F16" w:rsidRPr="00E90F16">
        <w:rPr>
          <w:i/>
          <w:iCs/>
        </w:rPr>
        <w:t>pagingSearchSpace</w:t>
      </w:r>
      <w:r w:rsidR="00E90F16">
        <w:t xml:space="preserve"> set is configured to RedCap UEs. </w:t>
      </w:r>
      <w:r w:rsidR="00503C4A">
        <w:t xml:space="preserve">Therefore, </w:t>
      </w:r>
      <w:r w:rsidR="000A022A">
        <w:t xml:space="preserve">to minimize specification impact, we </w:t>
      </w:r>
      <w:r w:rsidR="00181F41">
        <w:t xml:space="preserve">propose the following: </w:t>
      </w:r>
    </w:p>
    <w:p w14:paraId="52199820" w14:textId="5A3D7DD8" w:rsidR="00FE56EC" w:rsidRPr="00190E17" w:rsidRDefault="00D729ED" w:rsidP="00D729ED">
      <w:pPr>
        <w:pStyle w:val="Caption"/>
      </w:pPr>
      <w:bookmarkStart w:id="4" w:name="_Ref101788969"/>
      <w:r w:rsidRPr="00F867F5">
        <w:t xml:space="preserve">Proposal </w:t>
      </w:r>
      <w:fldSimple w:instr=" SEQ Proposal \* ARABIC ">
        <w:r w:rsidR="00643339">
          <w:rPr>
            <w:noProof/>
          </w:rPr>
          <w:t>2</w:t>
        </w:r>
      </w:fldSimple>
      <w:r w:rsidR="00A3519E" w:rsidRPr="00F867F5">
        <w:t>:</w:t>
      </w:r>
      <w:r w:rsidR="00A3519E" w:rsidRPr="00190E17">
        <w:t xml:space="preserve"> </w:t>
      </w:r>
      <w:r w:rsidR="00FE56EC" w:rsidRPr="00190E17">
        <w:t xml:space="preserve">For the case that the initial DL BWP for non-RedCap UEs is wider than the maximum RedCap UE bandwidth, a </w:t>
      </w:r>
      <w:r w:rsidR="00A83311" w:rsidRPr="00190E17">
        <w:t xml:space="preserve">SIB1-configured </w:t>
      </w:r>
      <w:r w:rsidR="00FE56EC" w:rsidRPr="00190E17">
        <w:t xml:space="preserve">RedCap-specific initial DL BWP </w:t>
      </w:r>
      <w:r w:rsidR="00AB79CA">
        <w:t xml:space="preserve">(i.e. </w:t>
      </w:r>
      <w:r w:rsidR="00FA2D02" w:rsidRPr="00FA2D02">
        <w:rPr>
          <w:i/>
          <w:iCs/>
        </w:rPr>
        <w:t>initialDownlinkBWP-RedCap-r17</w:t>
      </w:r>
      <w:r w:rsidR="00FA2D02">
        <w:t xml:space="preserve">) </w:t>
      </w:r>
      <w:r w:rsidR="00FE56EC" w:rsidRPr="00190E17">
        <w:t xml:space="preserve">is always </w:t>
      </w:r>
      <w:r w:rsidR="00686D34">
        <w:t>provided</w:t>
      </w:r>
      <w:r w:rsidR="00FE56EC" w:rsidRPr="00190E17">
        <w:t xml:space="preserve"> </w:t>
      </w:r>
      <w:r w:rsidR="00686D34">
        <w:t>to</w:t>
      </w:r>
      <w:r w:rsidR="00A83311" w:rsidRPr="00190E17">
        <w:t xml:space="preserve"> RedCap UEs</w:t>
      </w:r>
      <w:r w:rsidR="00CD0202" w:rsidRPr="00190E17">
        <w:t>.</w:t>
      </w:r>
      <w:bookmarkEnd w:id="4"/>
      <w:r w:rsidR="00FE56EC" w:rsidRPr="00190E17">
        <w:t xml:space="preserve"> </w:t>
      </w:r>
    </w:p>
    <w:p w14:paraId="37E81098" w14:textId="22DB3717" w:rsidR="00190E17" w:rsidRPr="00190E17" w:rsidRDefault="008C4C2B" w:rsidP="00190E17">
      <w:pPr>
        <w:pStyle w:val="ListParagraph"/>
        <w:numPr>
          <w:ilvl w:val="0"/>
          <w:numId w:val="34"/>
        </w:numPr>
        <w:ind w:firstLineChars="0"/>
        <w:rPr>
          <w:rFonts w:eastAsiaTheme="minorEastAsia"/>
          <w:b/>
          <w:bCs/>
          <w:sz w:val="20"/>
          <w:szCs w:val="20"/>
          <w:lang w:eastAsia="zh-TW"/>
        </w:rPr>
      </w:pPr>
      <w:r>
        <w:rPr>
          <w:rFonts w:eastAsiaTheme="minorEastAsia"/>
          <w:b/>
          <w:bCs/>
          <w:sz w:val="20"/>
          <w:szCs w:val="20"/>
          <w:lang w:eastAsia="zh-TW"/>
        </w:rPr>
        <w:t xml:space="preserve">In addition, </w:t>
      </w:r>
      <w:r w:rsidR="00E46381" w:rsidRPr="00176161">
        <w:rPr>
          <w:rFonts w:eastAsiaTheme="minorEastAsia"/>
          <w:b/>
          <w:bCs/>
          <w:i/>
          <w:iCs/>
          <w:sz w:val="20"/>
          <w:szCs w:val="20"/>
          <w:lang w:eastAsia="zh-TW"/>
        </w:rPr>
        <w:t>pdcch-ConfigCommon</w:t>
      </w:r>
      <w:r w:rsidR="00E46381">
        <w:rPr>
          <w:rFonts w:eastAsiaTheme="minorEastAsia"/>
          <w:b/>
          <w:bCs/>
          <w:sz w:val="20"/>
          <w:szCs w:val="20"/>
          <w:lang w:eastAsia="zh-TW"/>
        </w:rPr>
        <w:t xml:space="preserve"> and </w:t>
      </w:r>
      <w:r w:rsidR="003D545C" w:rsidRPr="00190E17">
        <w:rPr>
          <w:rFonts w:eastAsiaTheme="minorEastAsia"/>
          <w:b/>
          <w:bCs/>
          <w:i/>
          <w:iCs/>
          <w:sz w:val="20"/>
          <w:szCs w:val="20"/>
          <w:lang w:eastAsia="zh-TW"/>
        </w:rPr>
        <w:t>p</w:t>
      </w:r>
      <w:r w:rsidR="00905829" w:rsidRPr="00190E17">
        <w:rPr>
          <w:rFonts w:eastAsiaTheme="minorEastAsia"/>
          <w:b/>
          <w:bCs/>
          <w:i/>
          <w:iCs/>
          <w:sz w:val="20"/>
          <w:szCs w:val="20"/>
          <w:lang w:eastAsia="zh-TW"/>
        </w:rPr>
        <w:t>agingSearchSpace</w:t>
      </w:r>
      <w:r w:rsidR="00905829" w:rsidRPr="00190E17">
        <w:rPr>
          <w:rFonts w:eastAsiaTheme="minorEastAsia"/>
          <w:b/>
          <w:bCs/>
          <w:sz w:val="20"/>
          <w:szCs w:val="20"/>
          <w:lang w:eastAsia="zh-TW"/>
        </w:rPr>
        <w:t xml:space="preserve"> </w:t>
      </w:r>
      <w:r w:rsidR="00E46381">
        <w:rPr>
          <w:rFonts w:eastAsiaTheme="minorEastAsia"/>
          <w:b/>
          <w:bCs/>
          <w:sz w:val="20"/>
          <w:szCs w:val="20"/>
          <w:lang w:eastAsia="zh-TW"/>
        </w:rPr>
        <w:t>are</w:t>
      </w:r>
      <w:r w:rsidR="00905829" w:rsidRPr="00190E17">
        <w:rPr>
          <w:rFonts w:eastAsiaTheme="minorEastAsia"/>
          <w:b/>
          <w:bCs/>
          <w:sz w:val="20"/>
          <w:szCs w:val="20"/>
          <w:lang w:eastAsia="zh-TW"/>
        </w:rPr>
        <w:t xml:space="preserve"> always configured in the SIB1-configured RedCap-specific initial DL BWP</w:t>
      </w:r>
      <w:r w:rsidR="003D5BBC">
        <w:rPr>
          <w:rFonts w:eastAsiaTheme="minorEastAsia"/>
          <w:b/>
          <w:bCs/>
          <w:sz w:val="20"/>
          <w:szCs w:val="20"/>
          <w:lang w:eastAsia="zh-TW"/>
        </w:rPr>
        <w:t xml:space="preserve"> </w:t>
      </w:r>
      <w:r w:rsidR="000E23CA">
        <w:rPr>
          <w:rFonts w:eastAsiaTheme="minorEastAsia"/>
          <w:b/>
          <w:bCs/>
          <w:sz w:val="20"/>
          <w:szCs w:val="20"/>
          <w:lang w:eastAsia="zh-TW"/>
        </w:rPr>
        <w:t>in this</w:t>
      </w:r>
      <w:r w:rsidR="003D5BBC">
        <w:rPr>
          <w:rFonts w:eastAsiaTheme="minorEastAsia"/>
          <w:b/>
          <w:bCs/>
          <w:sz w:val="20"/>
          <w:szCs w:val="20"/>
          <w:lang w:eastAsia="zh-TW"/>
        </w:rPr>
        <w:t xml:space="preserve"> case. </w:t>
      </w:r>
    </w:p>
    <w:p w14:paraId="0EA91721" w14:textId="1FAFD76C" w:rsidR="003E17BC" w:rsidRPr="00190E17" w:rsidRDefault="00B776CB" w:rsidP="00190E17">
      <w:pPr>
        <w:pStyle w:val="ListParagraph"/>
        <w:numPr>
          <w:ilvl w:val="0"/>
          <w:numId w:val="34"/>
        </w:numPr>
        <w:ind w:firstLineChars="0"/>
        <w:rPr>
          <w:rFonts w:eastAsiaTheme="minorEastAsia"/>
          <w:b/>
          <w:bCs/>
          <w:sz w:val="20"/>
          <w:szCs w:val="20"/>
          <w:lang w:eastAsia="zh-TW"/>
        </w:rPr>
      </w:pPr>
      <w:r w:rsidRPr="00190E17">
        <w:rPr>
          <w:b/>
          <w:bCs/>
          <w:sz w:val="20"/>
          <w:szCs w:val="20"/>
        </w:rPr>
        <w:t>Note: For TDD, the center frequencies of the separate initial DL BWP and the initial UL BWP are aligned per an earlier agreement.</w:t>
      </w:r>
      <w:bookmarkEnd w:id="1"/>
    </w:p>
    <w:p w14:paraId="09B1674B" w14:textId="77777777" w:rsidR="006D398D" w:rsidRPr="006D398D" w:rsidRDefault="006D398D" w:rsidP="006D398D">
      <w:pPr>
        <w:rPr>
          <w:rFonts w:eastAsiaTheme="minorEastAsia"/>
        </w:rPr>
      </w:pPr>
    </w:p>
    <w:p w14:paraId="4F5D070A" w14:textId="4E4CB4B8" w:rsidR="00CD1F25" w:rsidRDefault="00DB7EB2" w:rsidP="00CD1F25">
      <w:pPr>
        <w:pStyle w:val="Heading1"/>
      </w:pPr>
      <w:r>
        <w:t xml:space="preserve">SSB </w:t>
      </w:r>
      <w:r w:rsidR="00953E01">
        <w:t xml:space="preserve">Presence in </w:t>
      </w:r>
      <w:r w:rsidR="00BA0489">
        <w:t>i</w:t>
      </w:r>
      <w:r w:rsidR="00DE48B6">
        <w:t xml:space="preserve">nitial DL BWP in </w:t>
      </w:r>
      <w:r w:rsidR="00C16B75">
        <w:t>c</w:t>
      </w:r>
      <w:r w:rsidR="00DE48B6">
        <w:t xml:space="preserve">onnected </w:t>
      </w:r>
      <w:r w:rsidR="00C16B75">
        <w:t>m</w:t>
      </w:r>
      <w:r w:rsidR="00DE48B6">
        <w:t>ode</w:t>
      </w:r>
    </w:p>
    <w:p w14:paraId="3DB19C03" w14:textId="72762947" w:rsidR="008C4AE5" w:rsidRPr="006606C2" w:rsidRDefault="00CD1F25" w:rsidP="00CD1F25">
      <w:r>
        <w:rPr>
          <w:rFonts w:hint="eastAsia"/>
        </w:rPr>
        <w:t>A</w:t>
      </w:r>
      <w:r>
        <w:t>t RAN1 #10</w:t>
      </w:r>
      <w:r w:rsidR="00896CE1">
        <w:t>8</w:t>
      </w:r>
      <w:r>
        <w:t xml:space="preserve">-e meeting, the following </w:t>
      </w:r>
      <w:r w:rsidR="00896CE1">
        <w:t>proposal was discussed</w:t>
      </w:r>
      <w:r w:rsidR="00E20FC2">
        <w:t xml:space="preserve"> about whether</w:t>
      </w:r>
      <w:r w:rsidR="002B7897">
        <w:t xml:space="preserve"> UE can expect SSB in </w:t>
      </w:r>
      <w:r w:rsidR="00104D7D">
        <w:t xml:space="preserve">an initial </w:t>
      </w:r>
      <w:r w:rsidR="000233AA">
        <w:t xml:space="preserve">DL BWP </w:t>
      </w:r>
      <w:r w:rsidR="00104D7D">
        <w:t>DL</w:t>
      </w:r>
      <w:r w:rsidR="00104D7D">
        <w:rPr>
          <w:rFonts w:ascii="新細明體" w:eastAsia="新細明體" w:hAnsi="新細明體" w:cs="新細明體" w:hint="eastAsia"/>
          <w:lang w:eastAsia="zh-TW"/>
        </w:rPr>
        <w:t>Ｂ</w:t>
      </w:r>
      <w:r w:rsidR="00896CE1">
        <w:t xml:space="preserve"> </w:t>
      </w:r>
      <w:r w:rsidR="005E31FF">
        <w:fldChar w:fldCharType="begin"/>
      </w:r>
      <w:r w:rsidR="005E31FF">
        <w:instrText xml:space="preserve"> REF _Ref95574783 \r \h </w:instrText>
      </w:r>
      <w:r w:rsidR="005E31FF">
        <w:fldChar w:fldCharType="separate"/>
      </w:r>
      <w:r w:rsidR="00643339">
        <w:rPr>
          <w:b/>
          <w:bCs/>
        </w:rPr>
        <w:t>Error! Reference source not found.</w:t>
      </w:r>
      <w:r w:rsidR="005E31FF">
        <w:fldChar w:fldCharType="end"/>
      </w:r>
      <w:r>
        <w:t xml:space="preserve">. </w:t>
      </w:r>
    </w:p>
    <w:tbl>
      <w:tblPr>
        <w:tblStyle w:val="TableGrid"/>
        <w:tblW w:w="0" w:type="auto"/>
        <w:tblLook w:val="04A0" w:firstRow="1" w:lastRow="0" w:firstColumn="1" w:lastColumn="0" w:noHBand="0" w:noVBand="1"/>
      </w:tblPr>
      <w:tblGrid>
        <w:gridCol w:w="9631"/>
      </w:tblGrid>
      <w:tr w:rsidR="00CD1F25" w:rsidRPr="00501E23" w14:paraId="6763299B" w14:textId="77777777" w:rsidTr="0073259A">
        <w:tc>
          <w:tcPr>
            <w:tcW w:w="9631" w:type="dxa"/>
          </w:tcPr>
          <w:p w14:paraId="03F83263" w14:textId="77777777" w:rsidR="00896CE1" w:rsidRPr="00501E23" w:rsidRDefault="00896CE1" w:rsidP="00896CE1">
            <w:pPr>
              <w:rPr>
                <w:rFonts w:ascii="Times New Roman" w:eastAsia="Microsoft YaHei UI" w:hAnsi="Times New Roman"/>
                <w:bCs/>
                <w:lang w:eastAsia="zh-CN"/>
              </w:rPr>
            </w:pPr>
            <w:r w:rsidRPr="00501E23">
              <w:rPr>
                <w:rFonts w:ascii="Times New Roman" w:hAnsi="Times New Roman"/>
                <w:bCs/>
                <w:highlight w:val="yellow"/>
              </w:rPr>
              <w:t xml:space="preserve">High Priority </w:t>
            </w:r>
            <w:bookmarkStart w:id="5" w:name="_Hlk99627255"/>
            <w:r w:rsidRPr="00501E23">
              <w:rPr>
                <w:rFonts w:ascii="Times New Roman" w:hAnsi="Times New Roman"/>
                <w:bCs/>
                <w:highlight w:val="yellow"/>
              </w:rPr>
              <w:t>Proposal 3-1h</w:t>
            </w:r>
            <w:bookmarkEnd w:id="5"/>
            <w:r w:rsidRPr="00501E23">
              <w:rPr>
                <w:rFonts w:ascii="Times New Roman" w:hAnsi="Times New Roman"/>
                <w:bCs/>
              </w:rPr>
              <w:t xml:space="preserve">: </w:t>
            </w:r>
            <w:r w:rsidRPr="00501E23">
              <w:rPr>
                <w:rFonts w:ascii="Times New Roman" w:eastAsia="Microsoft YaHei UI" w:hAnsi="Times New Roman"/>
                <w:bCs/>
                <w:lang w:eastAsia="zh-CN"/>
              </w:rPr>
              <w:t>Down select between the following options during RAN1#108-e:</w:t>
            </w:r>
          </w:p>
          <w:p w14:paraId="63B1AEF1" w14:textId="77777777" w:rsidR="00896CE1" w:rsidRPr="00501E23" w:rsidRDefault="00896CE1" w:rsidP="00896CE1">
            <w:pPr>
              <w:numPr>
                <w:ilvl w:val="0"/>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Option 1:</w:t>
            </w:r>
          </w:p>
          <w:p w14:paraId="32914F7C" w14:textId="77777777" w:rsidR="00896CE1" w:rsidRPr="00501E23" w:rsidRDefault="00896CE1" w:rsidP="00896CE1">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For FR1,</w:t>
            </w:r>
            <w:r w:rsidRPr="00501E23">
              <w:rPr>
                <w:rFonts w:ascii="Times New Roman" w:hAnsi="Times New Roman"/>
                <w:bCs/>
              </w:rPr>
              <w:t xml:space="preserve"> for BWP#0 configuration option 1,</w:t>
            </w:r>
          </w:p>
          <w:p w14:paraId="0BA30C29" w14:textId="77777777" w:rsidR="00896CE1" w:rsidRPr="00501E23" w:rsidRDefault="00896CE1" w:rsidP="00896CE1">
            <w:pPr>
              <w:numPr>
                <w:ilvl w:val="2"/>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A RedCap UE in connected mode does not expect to operate in a separate initial DL BWP that does not include CD-SSB and the entire CORESET#0.</w:t>
            </w:r>
          </w:p>
          <w:p w14:paraId="091638A5" w14:textId="77777777" w:rsidR="00896CE1" w:rsidRPr="00501E23" w:rsidRDefault="00896CE1" w:rsidP="00896CE1">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For FR2,</w:t>
            </w:r>
            <w:r w:rsidRPr="00501E23">
              <w:rPr>
                <w:rFonts w:ascii="Times New Roman" w:hAnsi="Times New Roman"/>
                <w:bCs/>
              </w:rPr>
              <w:t xml:space="preserve"> for BWP#0 configuration option 1,</w:t>
            </w:r>
          </w:p>
          <w:p w14:paraId="3487CAD0" w14:textId="023A63AC" w:rsidR="00896CE1" w:rsidRPr="00501E23" w:rsidRDefault="00896CE1" w:rsidP="00896CE1">
            <w:pPr>
              <w:numPr>
                <w:ilvl w:val="2"/>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lastRenderedPageBreak/>
              <w:t>A RedCap UE in connected mode does not expect to operate in a separate initial DL BWP that does not include CD-SSB.</w:t>
            </w:r>
          </w:p>
          <w:p w14:paraId="587C623B" w14:textId="77777777" w:rsidR="00896CE1" w:rsidRPr="00501E23" w:rsidRDefault="00896CE1" w:rsidP="00896CE1">
            <w:pPr>
              <w:numPr>
                <w:ilvl w:val="0"/>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Option 2:</w:t>
            </w:r>
          </w:p>
          <w:p w14:paraId="36D15504" w14:textId="77777777" w:rsidR="00896CE1" w:rsidRPr="00501E23" w:rsidRDefault="00896CE1" w:rsidP="00896CE1">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For FR1,</w:t>
            </w:r>
            <w:r w:rsidRPr="00501E23">
              <w:rPr>
                <w:rFonts w:ascii="Times New Roman" w:hAnsi="Times New Roman"/>
                <w:bCs/>
              </w:rPr>
              <w:t xml:space="preserve"> for BWP#0 configuration option 1,</w:t>
            </w:r>
          </w:p>
          <w:p w14:paraId="17B73D4B" w14:textId="77777777" w:rsidR="00896CE1" w:rsidRPr="00501E23" w:rsidRDefault="00896CE1" w:rsidP="00896CE1">
            <w:pPr>
              <w:numPr>
                <w:ilvl w:val="2"/>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For a separate initial DL BWP (if it does not include CD-SSB and the entire CORESET#0) from RAN1 perspective,</w:t>
            </w:r>
          </w:p>
          <w:p w14:paraId="6BB71A9E" w14:textId="77777777" w:rsidR="00896CE1" w:rsidRPr="00501E23" w:rsidRDefault="00896CE1" w:rsidP="00896CE1">
            <w:pPr>
              <w:numPr>
                <w:ilvl w:val="3"/>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During a random access procedure in connected mode, RedCap UE does NOT expect it to contain SSB/CORESET#0/SIB.</w:t>
            </w:r>
          </w:p>
          <w:p w14:paraId="6A851E53" w14:textId="77777777" w:rsidR="00896CE1" w:rsidRPr="00501E23" w:rsidRDefault="00896CE1" w:rsidP="00896CE1">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261B42">
              <w:rPr>
                <w:rFonts w:ascii="Times New Roman" w:eastAsia="Microsoft YaHei UI" w:hAnsi="Times New Roman"/>
                <w:bCs/>
                <w:lang w:eastAsia="zh-CN"/>
              </w:rPr>
              <w:t>For FR2,</w:t>
            </w:r>
            <w:r w:rsidRPr="00261B42">
              <w:rPr>
                <w:rFonts w:ascii="Times New Roman" w:hAnsi="Times New Roman"/>
                <w:bCs/>
              </w:rPr>
              <w:t xml:space="preserve"> </w:t>
            </w:r>
            <w:r w:rsidRPr="00501E23">
              <w:rPr>
                <w:rFonts w:ascii="Times New Roman" w:hAnsi="Times New Roman"/>
                <w:bCs/>
              </w:rPr>
              <w:t>for BWP#0 configuration option 1,</w:t>
            </w:r>
          </w:p>
          <w:p w14:paraId="0FE94AF8" w14:textId="589EC809" w:rsidR="00896CE1" w:rsidRPr="00501E23" w:rsidRDefault="00896CE1" w:rsidP="00896CE1">
            <w:pPr>
              <w:numPr>
                <w:ilvl w:val="2"/>
                <w:numId w:val="14"/>
              </w:numPr>
              <w:overflowPunct/>
              <w:autoSpaceDE/>
              <w:autoSpaceDN/>
              <w:adjustRightInd/>
              <w:spacing w:after="0" w:line="231" w:lineRule="atLeast"/>
              <w:rPr>
                <w:rFonts w:ascii="Times New Roman" w:eastAsia="Microsoft YaHei UI" w:hAnsi="Times New Roman"/>
                <w:bCs/>
                <w:lang w:eastAsia="zh-CN"/>
              </w:rPr>
            </w:pPr>
            <w:r w:rsidRPr="00501E23">
              <w:rPr>
                <w:rFonts w:ascii="Times New Roman" w:eastAsia="Microsoft YaHei UI" w:hAnsi="Times New Roman"/>
                <w:bCs/>
                <w:lang w:eastAsia="zh-CN"/>
              </w:rPr>
              <w:t>For a separate initial DL BWP (if it does not include CD-SSB) from RAN1 perspective,</w:t>
            </w:r>
          </w:p>
          <w:p w14:paraId="03EDC664" w14:textId="77777777" w:rsidR="00896CE1" w:rsidRPr="00501E23" w:rsidRDefault="00896CE1" w:rsidP="00896CE1">
            <w:pPr>
              <w:numPr>
                <w:ilvl w:val="3"/>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During a random access procedure in connected mode, RedCap UE does NOT expect it to contain SSB/CORESET#0/SIB.</w:t>
            </w:r>
          </w:p>
          <w:p w14:paraId="53E0A9F1" w14:textId="1BE983B4" w:rsidR="00896CE1" w:rsidRPr="00501E23" w:rsidRDefault="00896CE1" w:rsidP="00896CE1">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 xml:space="preserve">For BWP#0 configuration option 1, </w:t>
            </w:r>
            <w:r w:rsidRPr="00501E23">
              <w:rPr>
                <w:rFonts w:ascii="Times New Roman" w:eastAsia="Microsoft YaHei UI" w:hAnsi="Times New Roman"/>
                <w:bCs/>
                <w:color w:val="FF0000"/>
                <w:lang w:eastAsia="zh-CN"/>
              </w:rPr>
              <w:t xml:space="preserve">upon successful completion of the random access procedure, </w:t>
            </w:r>
            <w:r w:rsidRPr="00501E23">
              <w:rPr>
                <w:rFonts w:ascii="Times New Roman" w:eastAsia="Microsoft YaHei UI" w:hAnsi="Times New Roman"/>
                <w:bCs/>
                <w:lang w:eastAsia="zh-CN"/>
              </w:rPr>
              <w:t>a RedCap UE</w:t>
            </w:r>
            <w:r w:rsidRPr="00501E23">
              <w:rPr>
                <w:rFonts w:ascii="Times New Roman" w:eastAsia="Microsoft YaHei UI" w:hAnsi="Times New Roman"/>
                <w:bCs/>
                <w:color w:val="FF0000"/>
                <w:lang w:eastAsia="zh-CN"/>
              </w:rPr>
              <w:t xml:space="preserve"> supporting FG 6-1 only (but not FG 6-1a) </w:t>
            </w:r>
            <w:r w:rsidRPr="00501E23">
              <w:rPr>
                <w:rFonts w:ascii="Times New Roman" w:eastAsia="Microsoft YaHei UI" w:hAnsi="Times New Roman"/>
                <w:bCs/>
                <w:lang w:eastAsia="zh-CN"/>
              </w:rPr>
              <w:t>in connected mode</w:t>
            </w:r>
            <w:r w:rsidRPr="00D414CD">
              <w:rPr>
                <w:rFonts w:ascii="Times New Roman" w:eastAsia="Microsoft YaHei UI" w:hAnsi="Times New Roman"/>
                <w:bCs/>
                <w:color w:val="FF0000"/>
                <w:lang w:eastAsia="zh-CN"/>
              </w:rPr>
              <w:t xml:space="preserve"> is not required to </w:t>
            </w:r>
            <w:r w:rsidRPr="00D414CD">
              <w:rPr>
                <w:rFonts w:ascii="Times New Roman" w:eastAsia="Yu Mincho" w:hAnsi="Times New Roman"/>
                <w:bCs/>
                <w:color w:val="FF0000"/>
              </w:rPr>
              <w:t xml:space="preserve">operate </w:t>
            </w:r>
            <w:r w:rsidRPr="00501E23">
              <w:rPr>
                <w:rFonts w:ascii="Times New Roman" w:eastAsia="Microsoft YaHei UI" w:hAnsi="Times New Roman"/>
                <w:bCs/>
                <w:lang w:eastAsia="zh-CN"/>
              </w:rPr>
              <w:t>on a separate initial DL BWP that does not contain SSB.</w:t>
            </w:r>
          </w:p>
          <w:p w14:paraId="495BF217" w14:textId="07712805" w:rsidR="00CD1F25" w:rsidRPr="00A64730" w:rsidRDefault="00896CE1" w:rsidP="00A64730">
            <w:pPr>
              <w:numPr>
                <w:ilvl w:val="1"/>
                <w:numId w:val="14"/>
              </w:numPr>
              <w:overflowPunct/>
              <w:autoSpaceDE/>
              <w:autoSpaceDN/>
              <w:adjustRightInd/>
              <w:spacing w:after="0" w:line="231" w:lineRule="atLeast"/>
              <w:jc w:val="both"/>
              <w:rPr>
                <w:rFonts w:ascii="Times New Roman" w:eastAsia="Microsoft YaHei UI" w:hAnsi="Times New Roman"/>
                <w:bCs/>
                <w:lang w:eastAsia="zh-CN"/>
              </w:rPr>
            </w:pPr>
            <w:r w:rsidRPr="00501E23">
              <w:rPr>
                <w:rFonts w:ascii="Times New Roman" w:eastAsia="Microsoft YaHei UI" w:hAnsi="Times New Roman"/>
                <w:bCs/>
                <w:lang w:eastAsia="zh-CN"/>
              </w:rPr>
              <w:t>Note: The network may choose to configure SSB or MIB-configured CORESET#0 or SIB1 to be within the respective DL BWP.</w:t>
            </w:r>
          </w:p>
        </w:tc>
      </w:tr>
    </w:tbl>
    <w:p w14:paraId="62400390" w14:textId="0B5504A3" w:rsidR="00CD1F25" w:rsidRDefault="00CD1F25" w:rsidP="00CD1F25"/>
    <w:p w14:paraId="579FA459" w14:textId="64A1623C" w:rsidR="005F5D85" w:rsidRDefault="005F5D85" w:rsidP="00CD1F25">
      <w:r>
        <w:rPr>
          <w:rFonts w:hint="eastAsia"/>
        </w:rPr>
        <w:t>A</w:t>
      </w:r>
      <w:r>
        <w:t xml:space="preserve">s we </w:t>
      </w:r>
      <w:r w:rsidR="00791A79">
        <w:t xml:space="preserve">had </w:t>
      </w:r>
      <w:r>
        <w:t xml:space="preserve">commented during RAN1#108-e meeting, </w:t>
      </w:r>
      <w:r w:rsidR="006C33EF">
        <w:rPr>
          <w:rFonts w:eastAsia="新細明體"/>
          <w:lang w:eastAsia="zh-TW"/>
        </w:rPr>
        <w:t xml:space="preserve">the performance loss it may suffer in initial access/idle/inactive mode is different from that in connected mode for a UE to support an initial DL BWP w/o SSB. </w:t>
      </w:r>
    </w:p>
    <w:p w14:paraId="030430CC" w14:textId="77777777" w:rsidR="00ED7A47" w:rsidRDefault="00ED7A47" w:rsidP="00ED7A47">
      <w:pPr>
        <w:rPr>
          <w:rFonts w:eastAsia="新細明體"/>
          <w:lang w:eastAsia="zh-TW"/>
        </w:rPr>
      </w:pPr>
      <w:r>
        <w:rPr>
          <w:rFonts w:eastAsia="新細明體"/>
          <w:lang w:eastAsia="zh-TW"/>
        </w:rPr>
        <w:t xml:space="preserve">Without SSB and TRS, the UE is not able to maintain DL time/frequency synchronization. </w:t>
      </w:r>
      <w:r>
        <w:rPr>
          <w:rFonts w:eastAsia="新細明體" w:hint="eastAsia"/>
          <w:lang w:eastAsia="zh-TW"/>
        </w:rPr>
        <w:t>T</w:t>
      </w:r>
      <w:r>
        <w:rPr>
          <w:rFonts w:eastAsia="新細明體"/>
          <w:lang w:eastAsia="zh-TW"/>
        </w:rPr>
        <w:t xml:space="preserve">he longer UE stays in a DL BWP w/o SSB and TRS, the less synchronized it is. When it is switched (if it can successfully receive DCI 1_0 for </w:t>
      </w:r>
      <w:r>
        <w:rPr>
          <w:rFonts w:eastAsia="新細明體"/>
          <w:i/>
          <w:iCs/>
          <w:lang w:eastAsia="zh-TW"/>
        </w:rPr>
        <w:t>RRC reconfiguration</w:t>
      </w:r>
      <w:r>
        <w:rPr>
          <w:rFonts w:eastAsia="新細明體"/>
          <w:lang w:eastAsia="zh-TW"/>
        </w:rPr>
        <w:t xml:space="preserve">) back to an active DL BWP that has SSB or TRS, it takes UE </w:t>
      </w:r>
      <w:r w:rsidRPr="00FA04FC">
        <w:rPr>
          <w:rFonts w:eastAsia="新細明體"/>
          <w:lang w:eastAsia="zh-TW"/>
        </w:rPr>
        <w:t xml:space="preserve">longer time </w:t>
      </w:r>
      <w:r>
        <w:rPr>
          <w:rFonts w:eastAsia="新細明體"/>
          <w:lang w:eastAsia="zh-TW"/>
        </w:rPr>
        <w:t>to reach the same level of synchronization as it was which consequently implies throughput loss in connected mode. TRS</w:t>
      </w:r>
      <w:r>
        <w:rPr>
          <w:rFonts w:eastAsia="新細明體" w:hint="eastAsia"/>
          <w:lang w:eastAsia="zh-TW"/>
        </w:rPr>
        <w:t xml:space="preserve"> </w:t>
      </w:r>
      <w:r>
        <w:rPr>
          <w:rFonts w:eastAsia="新細明體"/>
          <w:lang w:eastAsia="zh-TW"/>
        </w:rPr>
        <w:t>is an alternative to SSB UE can use for synchronization. We can support the proposal if TRS transmission is guaranteed instead. However, this is an initial DL BWP by BWP#0 configuration option 1 and does not contain UE-specific configuration for TRS transmission.</w:t>
      </w:r>
    </w:p>
    <w:p w14:paraId="278DE925" w14:textId="281B28F4" w:rsidR="00EA2BD5" w:rsidRDefault="00F87118" w:rsidP="00F87118">
      <w:pPr>
        <w:pStyle w:val="Caption"/>
      </w:pPr>
      <w:bookmarkStart w:id="6" w:name="_Ref101788938"/>
      <w:r>
        <w:t xml:space="preserve">Observation </w:t>
      </w:r>
      <w:fldSimple w:instr=" SEQ Observation \* ARABIC ">
        <w:r w:rsidR="00643339">
          <w:rPr>
            <w:noProof/>
          </w:rPr>
          <w:t>2</w:t>
        </w:r>
      </w:fldSimple>
      <w:r>
        <w:t xml:space="preserve">: </w:t>
      </w:r>
      <w:r w:rsidR="00DB0725">
        <w:t xml:space="preserve">TRS is not available to </w:t>
      </w:r>
      <w:r w:rsidR="000278EE">
        <w:t xml:space="preserve">a connected </w:t>
      </w:r>
      <w:r w:rsidR="00DB0725">
        <w:t>UE i</w:t>
      </w:r>
      <w:r w:rsidR="00EA2BD5">
        <w:t>n an initial DL BWP by BWP#0 configuration option 1</w:t>
      </w:r>
      <w:r w:rsidR="00DB0725">
        <w:t>.</w:t>
      </w:r>
      <w:bookmarkEnd w:id="6"/>
      <w:r w:rsidR="00EA2BD5">
        <w:t xml:space="preserve"> </w:t>
      </w:r>
    </w:p>
    <w:p w14:paraId="4541E4C3" w14:textId="18554D77" w:rsidR="00836D96" w:rsidRPr="00836D96" w:rsidRDefault="00836D96" w:rsidP="00836D96">
      <w:pPr>
        <w:pStyle w:val="Caption"/>
      </w:pPr>
      <w:bookmarkStart w:id="7" w:name="_Ref101788945"/>
      <w:r>
        <w:t xml:space="preserve">Observation </w:t>
      </w:r>
      <w:fldSimple w:instr=" SEQ Observation \* ARABIC ">
        <w:r w:rsidR="00643339">
          <w:rPr>
            <w:noProof/>
          </w:rPr>
          <w:t>3</w:t>
        </w:r>
      </w:fldSimple>
      <w:r>
        <w:t>: When UE is operating in an initial DL BWP by BWP#0 configuration option 1</w:t>
      </w:r>
      <w:r w:rsidR="00506F4D">
        <w:t xml:space="preserve"> and if the BWP does not contain SSB, </w:t>
      </w:r>
      <w:r w:rsidR="00F11DA3">
        <w:t>UE cannot perform DL synchronization due to the lack of SSB and TRS.</w:t>
      </w:r>
      <w:bookmarkEnd w:id="7"/>
      <w:r w:rsidR="00F11DA3">
        <w:t xml:space="preserve"> </w:t>
      </w:r>
    </w:p>
    <w:p w14:paraId="54B9827B" w14:textId="6DC40FF2" w:rsidR="002E14DF" w:rsidRDefault="00CC0E38" w:rsidP="00857A05">
      <w:pPr>
        <w:pStyle w:val="Caption"/>
      </w:pPr>
      <w:bookmarkStart w:id="8" w:name="_Ref101788952"/>
      <w:r>
        <w:t xml:space="preserve">Observation </w:t>
      </w:r>
      <w:fldSimple w:instr=" SEQ Observation \* ARABIC ">
        <w:r w:rsidR="00643339">
          <w:rPr>
            <w:noProof/>
          </w:rPr>
          <w:t>4</w:t>
        </w:r>
      </w:fldSimple>
      <w:r>
        <w:t xml:space="preserve">: </w:t>
      </w:r>
      <w:r w:rsidR="00F87118">
        <w:t>When operating</w:t>
      </w:r>
      <w:r w:rsidR="00F87118" w:rsidRPr="00F87118">
        <w:t xml:space="preserve"> </w:t>
      </w:r>
      <w:r w:rsidR="00F87118">
        <w:t xml:space="preserve">in </w:t>
      </w:r>
      <w:r w:rsidR="00F87118" w:rsidRPr="00F87118">
        <w:t xml:space="preserve">an initial DL BWP w/o SSB, </w:t>
      </w:r>
      <w:r w:rsidR="00F87118">
        <w:t xml:space="preserve">UE </w:t>
      </w:r>
      <w:r w:rsidR="00A83D5B">
        <w:t xml:space="preserve">in connected mode </w:t>
      </w:r>
      <w:r w:rsidR="00F87118">
        <w:t xml:space="preserve">suffers </w:t>
      </w:r>
      <w:r w:rsidR="00A83D5B">
        <w:t xml:space="preserve">more </w:t>
      </w:r>
      <w:r w:rsidR="00F87118" w:rsidRPr="00F87118">
        <w:t xml:space="preserve">performance </w:t>
      </w:r>
      <w:r w:rsidR="00A83D5B">
        <w:t xml:space="preserve">and throughput </w:t>
      </w:r>
      <w:r w:rsidR="00F87118" w:rsidRPr="00F87118">
        <w:t xml:space="preserve">loss </w:t>
      </w:r>
      <w:r w:rsidR="00A83D5B">
        <w:t xml:space="preserve">than in </w:t>
      </w:r>
      <w:r w:rsidR="00F87118" w:rsidRPr="00F87118">
        <w:t xml:space="preserve">initial access/idle/inactive </w:t>
      </w:r>
      <w:r w:rsidR="00A83D5B">
        <w:t>mode</w:t>
      </w:r>
      <w:r w:rsidR="00F87118" w:rsidRPr="00F87118">
        <w:t>.</w:t>
      </w:r>
      <w:bookmarkEnd w:id="8"/>
    </w:p>
    <w:p w14:paraId="6BCF9208" w14:textId="5F94515F" w:rsidR="002E14DF" w:rsidRPr="00806201" w:rsidRDefault="002E14DF" w:rsidP="002E14DF">
      <w:r>
        <w:rPr>
          <w:rFonts w:eastAsia="新細明體"/>
          <w:lang w:eastAsia="zh-TW"/>
        </w:rPr>
        <w:t>Therefore, w</w:t>
      </w:r>
      <w:r>
        <w:rPr>
          <w:rFonts w:eastAsia="新細明體" w:hint="eastAsia"/>
          <w:lang w:eastAsia="zh-TW"/>
        </w:rPr>
        <w:t>e</w:t>
      </w:r>
      <w:r>
        <w:rPr>
          <w:rFonts w:eastAsia="新細明體"/>
          <w:lang w:eastAsia="zh-TW"/>
        </w:rPr>
        <w:t xml:space="preserve"> still have concerns with the uncertainty about </w:t>
      </w:r>
      <w:r>
        <w:rPr>
          <w:rFonts w:eastAsia="新細明體"/>
          <w:i/>
          <w:iCs/>
          <w:lang w:eastAsia="zh-TW"/>
        </w:rPr>
        <w:t>how long</w:t>
      </w:r>
      <w:r>
        <w:rPr>
          <w:rFonts w:eastAsia="新細明體"/>
          <w:lang w:eastAsia="zh-TW"/>
        </w:rPr>
        <w:t xml:space="preserve"> UE has to stay in the separate initial DL BWP after it finishes RACH.</w:t>
      </w:r>
      <w:r>
        <w:rPr>
          <w:rFonts w:eastAsia="新細明體" w:hint="eastAsia"/>
          <w:lang w:eastAsia="zh-TW"/>
        </w:rPr>
        <w:t xml:space="preserve"> </w:t>
      </w:r>
      <w:r w:rsidR="00B92BC2">
        <w:rPr>
          <w:rFonts w:eastAsia="新細明體"/>
          <w:lang w:eastAsia="zh-TW"/>
        </w:rPr>
        <w:t xml:space="preserve">As </w:t>
      </w:r>
      <w:r w:rsidR="00F33E2E">
        <w:rPr>
          <w:rFonts w:eastAsia="新細明體"/>
          <w:lang w:eastAsia="zh-TW"/>
        </w:rPr>
        <w:t xml:space="preserve">proponents for Option 2 </w:t>
      </w:r>
      <w:r w:rsidR="00CC4C08">
        <w:rPr>
          <w:rFonts w:eastAsia="新細明體"/>
          <w:lang w:eastAsia="zh-TW"/>
        </w:rPr>
        <w:t>clarified during RAN</w:t>
      </w:r>
      <w:r w:rsidR="00CC4C08">
        <w:rPr>
          <w:rFonts w:eastAsia="新細明體" w:hint="eastAsia"/>
          <w:lang w:eastAsia="zh-TW"/>
        </w:rPr>
        <w:t>1</w:t>
      </w:r>
      <w:r w:rsidR="00CC4C08">
        <w:rPr>
          <w:rFonts w:eastAsia="新細明體"/>
          <w:lang w:eastAsia="zh-TW"/>
        </w:rPr>
        <w:t xml:space="preserve">#108-e, they cared more about UEs that </w:t>
      </w:r>
      <w:r w:rsidR="00CA0BDB">
        <w:rPr>
          <w:rFonts w:eastAsia="新細明體" w:hint="eastAsia"/>
          <w:lang w:eastAsia="zh-TW"/>
        </w:rPr>
        <w:t>c</w:t>
      </w:r>
      <w:r w:rsidR="00CA0BDB">
        <w:rPr>
          <w:rFonts w:eastAsia="新細明體"/>
          <w:lang w:eastAsia="zh-TW"/>
        </w:rPr>
        <w:t>ould</w:t>
      </w:r>
      <w:r w:rsidR="00F376F1">
        <w:rPr>
          <w:rFonts w:eastAsia="新細明體"/>
          <w:lang w:eastAsia="zh-TW"/>
        </w:rPr>
        <w:t xml:space="preserve"> </w:t>
      </w:r>
      <w:r w:rsidR="00CC4C08">
        <w:rPr>
          <w:rFonts w:eastAsia="新細明體"/>
          <w:lang w:eastAsia="zh-TW"/>
        </w:rPr>
        <w:t xml:space="preserve">support FG 6-1a. </w:t>
      </w:r>
      <w:r w:rsidR="00806201">
        <w:rPr>
          <w:rFonts w:eastAsia="新細明體"/>
        </w:rPr>
        <w:t>Hence, as a compromise</w:t>
      </w:r>
      <w:r w:rsidR="00336D85">
        <w:rPr>
          <w:rFonts w:eastAsia="新細明體"/>
        </w:rPr>
        <w:t xml:space="preserve">, we think the following proposal can serve as a way forward. </w:t>
      </w:r>
    </w:p>
    <w:p w14:paraId="7CD9D0EA" w14:textId="20E013CA" w:rsidR="00CC0E38" w:rsidRPr="00CC0E38" w:rsidRDefault="00857A05" w:rsidP="00857A05">
      <w:pPr>
        <w:pStyle w:val="Caption"/>
      </w:pPr>
      <w:bookmarkStart w:id="9" w:name="_Ref101788981"/>
      <w:r>
        <w:t xml:space="preserve">Proposal </w:t>
      </w:r>
      <w:fldSimple w:instr=" SEQ Proposal \* ARABIC ">
        <w:r w:rsidR="00643339">
          <w:rPr>
            <w:noProof/>
          </w:rPr>
          <w:t>3</w:t>
        </w:r>
      </w:fldSimple>
      <w:r>
        <w:t xml:space="preserve">: Option 1 in </w:t>
      </w:r>
      <w:r w:rsidRPr="00857A05">
        <w:t>Proposal 3-1h</w:t>
      </w:r>
      <w:r>
        <w:t xml:space="preserve"> is supported by UE that supports only F</w:t>
      </w:r>
      <w:r w:rsidR="00FE24E0">
        <w:t>G</w:t>
      </w:r>
      <w:r>
        <w:t xml:space="preserve"> 6-1 but not FG 6-1a while </w:t>
      </w:r>
      <w:r w:rsidR="00C72933">
        <w:t>Option 2 can be supported by UE that supports FG 6-1a.</w:t>
      </w:r>
      <w:bookmarkEnd w:id="9"/>
      <w:r w:rsidR="00C72933">
        <w:t xml:space="preserve"> </w:t>
      </w:r>
    </w:p>
    <w:p w14:paraId="4D29A91C" w14:textId="77777777" w:rsidR="009645C0" w:rsidRPr="00B63B10" w:rsidRDefault="009645C0" w:rsidP="009645C0"/>
    <w:p w14:paraId="5249671F" w14:textId="3DC17BD9" w:rsidR="009645C0" w:rsidRDefault="009645C0" w:rsidP="009645C0">
      <w:pPr>
        <w:pStyle w:val="Heading1"/>
        <w:jc w:val="both"/>
        <w:rPr>
          <w:lang w:val="en-US" w:eastAsia="zh-CN"/>
        </w:rPr>
      </w:pPr>
      <w:r>
        <w:rPr>
          <w:lang w:val="en-US" w:eastAsia="zh-CN"/>
        </w:rPr>
        <w:t>Time offset between CD-SSB and NCD-SSB</w:t>
      </w:r>
    </w:p>
    <w:p w14:paraId="6505E2D5" w14:textId="690D6054" w:rsidR="009645C0" w:rsidRPr="00C90D57" w:rsidRDefault="00C90D57" w:rsidP="009645C0">
      <w:pPr>
        <w:rPr>
          <w:rFonts w:eastAsia="SimSun"/>
        </w:rPr>
      </w:pPr>
      <w:r>
        <w:rPr>
          <w:rFonts w:eastAsia="SimSun" w:hint="eastAsia"/>
        </w:rPr>
        <w:t>A</w:t>
      </w:r>
      <w:r>
        <w:rPr>
          <w:rFonts w:eastAsia="SimSun"/>
        </w:rPr>
        <w:t>t RAN1#108-e meeting, the following proposal w</w:t>
      </w:r>
      <w:r w:rsidR="005B191D">
        <w:rPr>
          <w:rFonts w:eastAsia="SimSun"/>
        </w:rPr>
        <w:t>as</w:t>
      </w:r>
      <w:r>
        <w:rPr>
          <w:rFonts w:eastAsia="SimSun"/>
        </w:rPr>
        <w:t xml:space="preserve"> discussed. </w:t>
      </w:r>
      <w:r w:rsidR="005B191D">
        <w:rPr>
          <w:rFonts w:eastAsia="SimSun"/>
        </w:rPr>
        <w:t xml:space="preserve">The first bullet was </w:t>
      </w:r>
      <w:r w:rsidR="00785A02">
        <w:rPr>
          <w:rFonts w:eastAsia="SimSun"/>
        </w:rPr>
        <w:t xml:space="preserve">concluded by </w:t>
      </w:r>
      <w:r w:rsidR="00D31200">
        <w:rPr>
          <w:rFonts w:eastAsia="SimSun"/>
        </w:rPr>
        <w:t xml:space="preserve">the agreements </w:t>
      </w:r>
      <w:r w:rsidR="00055429">
        <w:rPr>
          <w:rFonts w:eastAsia="SimSun"/>
        </w:rPr>
        <w:t xml:space="preserve">made at RAN2 #117-e meeting while the second bullet </w:t>
      </w:r>
      <w:r w:rsidR="00687590">
        <w:rPr>
          <w:rFonts w:eastAsia="SimSun"/>
        </w:rPr>
        <w:t xml:space="preserve">about configurable time offsets </w:t>
      </w:r>
      <w:r w:rsidR="00055429">
        <w:rPr>
          <w:rFonts w:eastAsia="SimSun"/>
        </w:rPr>
        <w:t xml:space="preserve">requires more discussion in this meeting. </w:t>
      </w:r>
    </w:p>
    <w:tbl>
      <w:tblPr>
        <w:tblStyle w:val="TableGrid"/>
        <w:tblW w:w="0" w:type="auto"/>
        <w:tblLook w:val="04A0" w:firstRow="1" w:lastRow="0" w:firstColumn="1" w:lastColumn="0" w:noHBand="0" w:noVBand="1"/>
      </w:tblPr>
      <w:tblGrid>
        <w:gridCol w:w="9631"/>
      </w:tblGrid>
      <w:tr w:rsidR="000A7DC6" w:rsidRPr="00125823" w14:paraId="4D3C5A93" w14:textId="77777777" w:rsidTr="000A7DC6">
        <w:tc>
          <w:tcPr>
            <w:tcW w:w="9631" w:type="dxa"/>
          </w:tcPr>
          <w:p w14:paraId="1F6B889B" w14:textId="77777777" w:rsidR="000A7DC6" w:rsidRPr="00125823" w:rsidRDefault="000A7DC6" w:rsidP="000A7DC6">
            <w:pPr>
              <w:tabs>
                <w:tab w:val="left" w:pos="772"/>
              </w:tabs>
              <w:spacing w:after="100" w:afterAutospacing="1"/>
              <w:rPr>
                <w:rFonts w:ascii="Times New Roman" w:hAnsi="Times New Roman"/>
                <w:b/>
                <w:bCs/>
              </w:rPr>
            </w:pPr>
            <w:r w:rsidRPr="00125823">
              <w:rPr>
                <w:rFonts w:ascii="Times New Roman" w:hAnsi="Times New Roman"/>
                <w:b/>
                <w:highlight w:val="yellow"/>
              </w:rPr>
              <w:t>FL10 High Priority Proposal 4-1-2</w:t>
            </w:r>
            <w:r w:rsidRPr="00125823">
              <w:rPr>
                <w:rFonts w:ascii="Times New Roman" w:hAnsi="Times New Roman"/>
                <w:b/>
                <w:bCs/>
              </w:rPr>
              <w:t>:</w:t>
            </w:r>
          </w:p>
          <w:p w14:paraId="7B64558E" w14:textId="5CADE5AE" w:rsidR="000A7DC6" w:rsidRPr="00125823" w:rsidRDefault="000A7DC6" w:rsidP="000A7DC6">
            <w:pPr>
              <w:pStyle w:val="ListParagraph"/>
              <w:numPr>
                <w:ilvl w:val="0"/>
                <w:numId w:val="36"/>
              </w:numPr>
              <w:tabs>
                <w:tab w:val="left" w:pos="772"/>
              </w:tabs>
              <w:spacing w:after="100" w:afterAutospacing="1" w:line="252" w:lineRule="auto"/>
              <w:ind w:firstLineChars="0"/>
              <w:contextualSpacing/>
              <w:jc w:val="both"/>
              <w:rPr>
                <w:rFonts w:ascii="Times New Roman" w:hAnsi="Times New Roman"/>
                <w:sz w:val="20"/>
                <w:szCs w:val="22"/>
              </w:rPr>
            </w:pPr>
            <w:r w:rsidRPr="00125823">
              <w:rPr>
                <w:rFonts w:ascii="Times New Roman" w:hAnsi="Times New Roman"/>
                <w:sz w:val="20"/>
                <w:szCs w:val="22"/>
              </w:rPr>
              <w:t>A RedCap UE is not required to perform measurements on more than one SSB at a time in a same BWP.</w:t>
            </w:r>
          </w:p>
          <w:p w14:paraId="1A6C711E" w14:textId="509D8FAB" w:rsidR="000A7DC6" w:rsidRPr="00125823" w:rsidRDefault="000A7DC6" w:rsidP="009645C0">
            <w:pPr>
              <w:pStyle w:val="ListParagraph"/>
              <w:numPr>
                <w:ilvl w:val="0"/>
                <w:numId w:val="36"/>
              </w:numPr>
              <w:tabs>
                <w:tab w:val="left" w:pos="772"/>
              </w:tabs>
              <w:spacing w:after="100" w:afterAutospacing="1" w:line="252" w:lineRule="auto"/>
              <w:ind w:firstLineChars="0"/>
              <w:contextualSpacing/>
              <w:jc w:val="both"/>
              <w:rPr>
                <w:rFonts w:ascii="Times New Roman" w:hAnsi="Times New Roman"/>
                <w:b/>
                <w:bCs/>
                <w:sz w:val="20"/>
                <w:szCs w:val="22"/>
              </w:rPr>
            </w:pPr>
            <w:r w:rsidRPr="00125823">
              <w:rPr>
                <w:rFonts w:ascii="Times New Roman" w:hAnsi="Times New Roman"/>
                <w:sz w:val="20"/>
                <w:szCs w:val="22"/>
              </w:rPr>
              <w:t>A RedCap UE mandatorily supports configurable time offsets (including zero) between CD-SSB and NCD-SSB.</w:t>
            </w:r>
          </w:p>
        </w:tc>
      </w:tr>
    </w:tbl>
    <w:p w14:paraId="36614891" w14:textId="35394273" w:rsidR="009645C0" w:rsidRDefault="009645C0" w:rsidP="00B63B10"/>
    <w:tbl>
      <w:tblPr>
        <w:tblStyle w:val="TableGrid"/>
        <w:tblW w:w="0" w:type="auto"/>
        <w:tblLook w:val="04A0" w:firstRow="1" w:lastRow="0" w:firstColumn="1" w:lastColumn="0" w:noHBand="0" w:noVBand="1"/>
      </w:tblPr>
      <w:tblGrid>
        <w:gridCol w:w="9631"/>
      </w:tblGrid>
      <w:tr w:rsidR="009E39B4" w:rsidRPr="007E5C17" w14:paraId="3709CFD7" w14:textId="77777777" w:rsidTr="009E39B4">
        <w:tc>
          <w:tcPr>
            <w:tcW w:w="9631" w:type="dxa"/>
          </w:tcPr>
          <w:p w14:paraId="07AD768D" w14:textId="0C9DE4D1" w:rsidR="00E5537C" w:rsidRPr="007E5C17" w:rsidRDefault="00E5537C" w:rsidP="00E5537C">
            <w:pPr>
              <w:rPr>
                <w:rFonts w:ascii="Times New Roman" w:hAnsi="Times New Roman"/>
              </w:rPr>
            </w:pPr>
            <w:r w:rsidRPr="007E5C17">
              <w:rPr>
                <w:rFonts w:ascii="Times New Roman" w:hAnsi="Times New Roman"/>
              </w:rPr>
              <w:t>Agreements:</w:t>
            </w:r>
            <w:r w:rsidR="00C959F5">
              <w:rPr>
                <w:rFonts w:ascii="Times New Roman" w:hAnsi="Times New Roman"/>
              </w:rPr>
              <w:t xml:space="preserve"> (RAN2 #117-e meeting)</w:t>
            </w:r>
          </w:p>
          <w:p w14:paraId="1830632D" w14:textId="2B83B233" w:rsidR="00EB2A82" w:rsidRPr="007E5C17" w:rsidRDefault="00EB2A82" w:rsidP="00EB2A82">
            <w:pPr>
              <w:pStyle w:val="ListParagraph"/>
              <w:numPr>
                <w:ilvl w:val="0"/>
                <w:numId w:val="37"/>
              </w:numPr>
              <w:ind w:firstLineChars="0"/>
              <w:rPr>
                <w:rFonts w:ascii="Times New Roman" w:hAnsi="Times New Roman"/>
                <w:sz w:val="20"/>
                <w:szCs w:val="20"/>
              </w:rPr>
            </w:pPr>
            <w:bookmarkStart w:id="10" w:name="_Hlk101695772"/>
            <w:r w:rsidRPr="007E5C17">
              <w:rPr>
                <w:rFonts w:ascii="Times New Roman" w:hAnsi="Times New Roman"/>
                <w:sz w:val="20"/>
                <w:szCs w:val="20"/>
              </w:rPr>
              <w:lastRenderedPageBreak/>
              <w:t>A RedCap UE may be configured with multiple NCD-SSBs provided that each BWP is configured with at most one SSB</w:t>
            </w:r>
            <w:bookmarkEnd w:id="10"/>
          </w:p>
          <w:p w14:paraId="66E080B2" w14:textId="77777777" w:rsidR="00EB2A82" w:rsidRPr="007E5C17" w:rsidRDefault="00E114A2" w:rsidP="00E5537C">
            <w:pPr>
              <w:pStyle w:val="ListParagraph"/>
              <w:numPr>
                <w:ilvl w:val="0"/>
                <w:numId w:val="37"/>
              </w:numPr>
              <w:ind w:firstLineChars="0"/>
              <w:rPr>
                <w:rFonts w:ascii="Times New Roman" w:hAnsi="Times New Roman"/>
                <w:sz w:val="20"/>
                <w:szCs w:val="20"/>
              </w:rPr>
            </w:pPr>
            <w:r w:rsidRPr="007E5C17">
              <w:rPr>
                <w:rFonts w:ascii="Times New Roman" w:hAnsi="Times New Roman"/>
                <w:sz w:val="20"/>
                <w:szCs w:val="20"/>
              </w:rPr>
              <w:t>The working assumption “The periodicity of NCD-SSB shall be not less than the periodicity of serving cell’s CD-SSB.” is confirmed.</w:t>
            </w:r>
          </w:p>
          <w:p w14:paraId="5737AA0F" w14:textId="77777777" w:rsidR="00E5537C" w:rsidRDefault="00E5537C" w:rsidP="00E5537C">
            <w:pPr>
              <w:pStyle w:val="ListParagraph"/>
              <w:numPr>
                <w:ilvl w:val="0"/>
                <w:numId w:val="37"/>
              </w:numPr>
              <w:ind w:firstLineChars="0"/>
              <w:rPr>
                <w:rFonts w:ascii="Times New Roman" w:hAnsi="Times New Roman"/>
                <w:sz w:val="20"/>
                <w:szCs w:val="20"/>
              </w:rPr>
            </w:pPr>
            <w:r w:rsidRPr="007E5C17">
              <w:rPr>
                <w:rFonts w:ascii="Times New Roman" w:hAnsi="Times New Roman"/>
                <w:sz w:val="20"/>
                <w:szCs w:val="20"/>
              </w:rPr>
              <w:t>Send a LS to RAN4/RAN1 saying that from RAN2 signaling standpoint CD-SSB and NCD-SSB(s) may be transmitted at different times by configuring an offset and asking if this is feasible/needed</w:t>
            </w:r>
          </w:p>
          <w:p w14:paraId="4CED6AE3" w14:textId="77777777" w:rsidR="00DE5668" w:rsidRPr="00DE5668" w:rsidRDefault="00DE5668" w:rsidP="00DE5668">
            <w:pPr>
              <w:pStyle w:val="ListParagraph"/>
              <w:numPr>
                <w:ilvl w:val="0"/>
                <w:numId w:val="37"/>
              </w:numPr>
              <w:ind w:firstLineChars="0"/>
              <w:rPr>
                <w:rFonts w:ascii="Times New Roman" w:hAnsi="Times New Roman"/>
                <w:sz w:val="20"/>
                <w:szCs w:val="20"/>
              </w:rPr>
            </w:pPr>
            <w:r w:rsidRPr="00DE5668">
              <w:rPr>
                <w:rFonts w:ascii="Times New Roman" w:hAnsi="Times New Roman"/>
                <w:sz w:val="20"/>
                <w:szCs w:val="20"/>
              </w:rPr>
              <w:t>In RRC connected mode NCD-SSB may be configured for a RedCap UE in dedicated DL BWP. [R2 #116bis-e]</w:t>
            </w:r>
          </w:p>
          <w:p w14:paraId="4B2A55BD" w14:textId="77777777" w:rsidR="00DE5668" w:rsidRPr="00DE5668" w:rsidRDefault="00DE5668" w:rsidP="00DE5668">
            <w:pPr>
              <w:pStyle w:val="ListParagraph"/>
              <w:numPr>
                <w:ilvl w:val="0"/>
                <w:numId w:val="37"/>
              </w:numPr>
              <w:ind w:firstLineChars="0"/>
              <w:rPr>
                <w:rFonts w:ascii="Times New Roman" w:hAnsi="Times New Roman"/>
                <w:sz w:val="20"/>
                <w:szCs w:val="20"/>
              </w:rPr>
            </w:pPr>
            <w:r w:rsidRPr="00DE5668">
              <w:rPr>
                <w:rFonts w:ascii="Times New Roman" w:hAnsi="Times New Roman"/>
                <w:sz w:val="20"/>
                <w:szCs w:val="20"/>
              </w:rPr>
              <w:t>For connected mode operation NCD-SSB has the same properties (e.g., ssb-PositionsInBurst, PCI, ssb-periodicity, ssb-PBCH-BlockPower) as the corresponding CD-SSB. FFS if an additional property needs to be specified.</w:t>
            </w:r>
          </w:p>
          <w:p w14:paraId="3228143E" w14:textId="77777777" w:rsidR="00DE5668" w:rsidRPr="00DE5668" w:rsidRDefault="00DE5668" w:rsidP="00DE5668">
            <w:pPr>
              <w:pStyle w:val="ListParagraph"/>
              <w:numPr>
                <w:ilvl w:val="0"/>
                <w:numId w:val="37"/>
              </w:numPr>
              <w:ind w:firstLineChars="0"/>
              <w:rPr>
                <w:rFonts w:ascii="Times New Roman" w:hAnsi="Times New Roman"/>
                <w:sz w:val="20"/>
                <w:szCs w:val="20"/>
              </w:rPr>
            </w:pPr>
            <w:r w:rsidRPr="00DE5668">
              <w:rPr>
                <w:rFonts w:ascii="Times New Roman" w:hAnsi="Times New Roman"/>
                <w:sz w:val="20"/>
                <w:szCs w:val="20"/>
              </w:rPr>
              <w:t>For connected mode operation if NCD-SSB is configured in a dedicated DL BWP, RedCap UE assumes that “SSB” in QCL-Info IE and “ssb-Index” in RadioLinkMonitoringRS IE refer to the beam with the same index in the NCD-SSB configured in that BWP.</w:t>
            </w:r>
          </w:p>
          <w:p w14:paraId="7A94BC54" w14:textId="469D6D88" w:rsidR="00DE5668" w:rsidRPr="007E5C17" w:rsidRDefault="00DE5668" w:rsidP="00DE5668">
            <w:pPr>
              <w:pStyle w:val="ListParagraph"/>
              <w:numPr>
                <w:ilvl w:val="0"/>
                <w:numId w:val="37"/>
              </w:numPr>
              <w:ind w:firstLineChars="0"/>
              <w:rPr>
                <w:rFonts w:ascii="Times New Roman" w:hAnsi="Times New Roman"/>
                <w:sz w:val="20"/>
                <w:szCs w:val="20"/>
              </w:rPr>
            </w:pPr>
            <w:r w:rsidRPr="00DE5668">
              <w:rPr>
                <w:rFonts w:ascii="Times New Roman" w:eastAsia="Times New Roman" w:hAnsi="Times New Roman"/>
                <w:sz w:val="20"/>
                <w:szCs w:val="20"/>
                <w:lang w:eastAsia="en-GB"/>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r>
    </w:tbl>
    <w:p w14:paraId="7DBDBBD0" w14:textId="77777777" w:rsidR="00DE5668" w:rsidRDefault="00DE5668" w:rsidP="00B63B10"/>
    <w:p w14:paraId="7416C9AD" w14:textId="2733C9E0" w:rsidR="00EB2DF2" w:rsidRDefault="00EB2DF2" w:rsidP="00B63B10">
      <w:r>
        <w:rPr>
          <w:rFonts w:hint="eastAsia"/>
        </w:rPr>
        <w:t>I</w:t>
      </w:r>
      <w:r>
        <w:t xml:space="preserve">f a non-zero time offset is supported </w:t>
      </w:r>
      <w:r w:rsidR="000E7ED2">
        <w:t xml:space="preserve">between NCD-SSB and CD-SSB, </w:t>
      </w:r>
      <w:r w:rsidR="0083600D">
        <w:t xml:space="preserve">at least the following aspects should be considered. </w:t>
      </w:r>
    </w:p>
    <w:p w14:paraId="08D45432" w14:textId="4D9E6271" w:rsidR="0083600D" w:rsidRPr="00455CB5" w:rsidRDefault="00C46BDB" w:rsidP="00C46BDB">
      <w:pPr>
        <w:pStyle w:val="ListParagraph"/>
        <w:numPr>
          <w:ilvl w:val="0"/>
          <w:numId w:val="40"/>
        </w:numPr>
        <w:ind w:firstLineChars="0"/>
        <w:rPr>
          <w:sz w:val="20"/>
          <w:szCs w:val="20"/>
        </w:rPr>
      </w:pPr>
      <w:r w:rsidRPr="00455CB5">
        <w:rPr>
          <w:sz w:val="20"/>
          <w:szCs w:val="20"/>
        </w:rPr>
        <w:t>RACH occasion validation and SSB-RO association</w:t>
      </w:r>
    </w:p>
    <w:p w14:paraId="503369C8" w14:textId="785DE16F" w:rsidR="00516276" w:rsidRPr="00455CB5" w:rsidRDefault="00516276" w:rsidP="00516276">
      <w:pPr>
        <w:pStyle w:val="ListParagraph"/>
        <w:numPr>
          <w:ilvl w:val="1"/>
          <w:numId w:val="40"/>
        </w:numPr>
        <w:ind w:firstLineChars="0"/>
        <w:rPr>
          <w:sz w:val="20"/>
          <w:szCs w:val="20"/>
        </w:rPr>
      </w:pPr>
      <w:r w:rsidRPr="00455CB5">
        <w:rPr>
          <w:rFonts w:hint="eastAsia"/>
          <w:sz w:val="20"/>
          <w:szCs w:val="20"/>
        </w:rPr>
        <w:t>S</w:t>
      </w:r>
      <w:r w:rsidRPr="00455CB5">
        <w:rPr>
          <w:sz w:val="20"/>
          <w:szCs w:val="20"/>
        </w:rPr>
        <w:t xml:space="preserve">hould NCD-SSB be taken into consideration for </w:t>
      </w:r>
      <w:r w:rsidR="00057003" w:rsidRPr="00455CB5">
        <w:rPr>
          <w:sz w:val="20"/>
          <w:szCs w:val="20"/>
        </w:rPr>
        <w:t>valid RO determination in TDD?</w:t>
      </w:r>
    </w:p>
    <w:p w14:paraId="7CEDAB04" w14:textId="370A1811" w:rsidR="00C46BDB" w:rsidRPr="00455CB5" w:rsidRDefault="00C46BDB" w:rsidP="00C46BDB">
      <w:pPr>
        <w:pStyle w:val="ListParagraph"/>
        <w:numPr>
          <w:ilvl w:val="0"/>
          <w:numId w:val="40"/>
        </w:numPr>
        <w:ind w:firstLineChars="0"/>
        <w:rPr>
          <w:sz w:val="20"/>
          <w:szCs w:val="20"/>
        </w:rPr>
      </w:pPr>
      <w:r w:rsidRPr="00455CB5">
        <w:rPr>
          <w:rFonts w:hint="eastAsia"/>
          <w:sz w:val="20"/>
          <w:szCs w:val="20"/>
        </w:rPr>
        <w:t>P</w:t>
      </w:r>
      <w:r w:rsidRPr="00455CB5">
        <w:rPr>
          <w:sz w:val="20"/>
          <w:szCs w:val="20"/>
        </w:rPr>
        <w:t>DSCH rate matching around SSB</w:t>
      </w:r>
    </w:p>
    <w:p w14:paraId="4390AAF0" w14:textId="308C713A" w:rsidR="00F75A68" w:rsidRDefault="00F75A68" w:rsidP="00F75A68"/>
    <w:p w14:paraId="16E08B19" w14:textId="2042D5F1" w:rsidR="00F75A68" w:rsidRDefault="004263E3" w:rsidP="00F75A68">
      <w:r>
        <w:t xml:space="preserve">Since RAN2 has agreed a BWP is configured with at most one SSB, </w:t>
      </w:r>
      <w:r w:rsidR="00A502D0">
        <w:t xml:space="preserve">as long as </w:t>
      </w:r>
      <w:r w:rsidR="00B85750">
        <w:t xml:space="preserve">a set of RACH occasions is not associated with </w:t>
      </w:r>
      <w:r w:rsidR="00490337">
        <w:t xml:space="preserve">NCD-SSB and CD-SSB from the network perspective, </w:t>
      </w:r>
      <w:r w:rsidR="00AD0CD2">
        <w:t xml:space="preserve">it is feasible to </w:t>
      </w:r>
      <w:r w:rsidR="00854BA1">
        <w:t xml:space="preserve">take NCD-SSB into consideration </w:t>
      </w:r>
      <w:r w:rsidR="00907DE9">
        <w:t>when determining valid RACH occasions in TDD</w:t>
      </w:r>
      <w:r w:rsidR="00B01870">
        <w:t xml:space="preserve"> though this implies </w:t>
      </w:r>
      <w:r w:rsidR="003A3EC2">
        <w:t xml:space="preserve">UE may have to maintain more than one </w:t>
      </w:r>
      <w:r w:rsidR="003D7DFC">
        <w:t xml:space="preserve">mapping </w:t>
      </w:r>
      <w:r w:rsidR="004C6AEB">
        <w:t>between SSBs and R</w:t>
      </w:r>
      <w:r w:rsidR="00087048">
        <w:t>O</w:t>
      </w:r>
      <w:r w:rsidR="004C6AEB">
        <w:t xml:space="preserve">s. </w:t>
      </w:r>
    </w:p>
    <w:p w14:paraId="406DB259" w14:textId="40CC2081" w:rsidR="00B66285" w:rsidRPr="00C35E5E" w:rsidRDefault="00931D06" w:rsidP="00961508">
      <w:pPr>
        <w:pStyle w:val="Caption"/>
      </w:pPr>
      <w:bookmarkStart w:id="11" w:name="_Ref101788988"/>
      <w:bookmarkStart w:id="12" w:name="_Ref101789165"/>
      <w:r>
        <w:t xml:space="preserve">Proposal </w:t>
      </w:r>
      <w:fldSimple w:instr=" SEQ Proposal \* ARABIC ">
        <w:r w:rsidR="00643339">
          <w:rPr>
            <w:noProof/>
          </w:rPr>
          <w:t>4</w:t>
        </w:r>
      </w:fldSimple>
      <w:r w:rsidR="00491D6D">
        <w:t xml:space="preserve">: </w:t>
      </w:r>
      <w:r w:rsidR="0077422E">
        <w:t>I</w:t>
      </w:r>
      <w:r w:rsidR="00195B7C">
        <w:t xml:space="preserve">f </w:t>
      </w:r>
      <w:r w:rsidR="00444F33" w:rsidRPr="00444F33">
        <w:t>a UL BWP configured with RACH occasion</w:t>
      </w:r>
      <w:r w:rsidR="007E19C1">
        <w:t>s</w:t>
      </w:r>
      <w:r w:rsidR="007C237C">
        <w:t xml:space="preserve"> and it is</w:t>
      </w:r>
      <w:r w:rsidR="00444F33" w:rsidRPr="00444F33">
        <w:t xml:space="preserve"> paired </w:t>
      </w:r>
      <w:r w:rsidR="007C237C">
        <w:t xml:space="preserve">with </w:t>
      </w:r>
      <w:r w:rsidR="00444F33" w:rsidRPr="00444F33">
        <w:t xml:space="preserve">an RRC-configured DL BWP </w:t>
      </w:r>
      <w:r w:rsidR="007C237C">
        <w:t>that is</w:t>
      </w:r>
      <w:r w:rsidR="00444F33" w:rsidRPr="00444F33">
        <w:t xml:space="preserve"> configured with NCD-SSB</w:t>
      </w:r>
      <w:r w:rsidR="00C46E1C">
        <w:t xml:space="preserve"> or includes CD-SSB</w:t>
      </w:r>
      <w:r w:rsidR="00444F33" w:rsidRPr="00444F33">
        <w:t xml:space="preserve">, UE uses the configured </w:t>
      </w:r>
      <w:r w:rsidR="00062BF7">
        <w:t>NCD-</w:t>
      </w:r>
      <w:r w:rsidR="00444F33" w:rsidRPr="00444F33">
        <w:t xml:space="preserve">SSB </w:t>
      </w:r>
      <w:r w:rsidR="005B5C57">
        <w:t xml:space="preserve">or CD-SSB </w:t>
      </w:r>
      <w:r w:rsidR="00444F33" w:rsidRPr="00444F33">
        <w:t>for determining valid RACH occasions in TDD</w:t>
      </w:r>
      <w:r w:rsidR="00B66285">
        <w:t>.</w:t>
      </w:r>
      <w:bookmarkEnd w:id="11"/>
      <w:r w:rsidR="00961508" w:rsidRPr="00C35E5E">
        <w:t xml:space="preserve"> Additionally, </w:t>
      </w:r>
      <w:r w:rsidR="00B66285" w:rsidRPr="00C35E5E">
        <w:t xml:space="preserve">UE does not expect </w:t>
      </w:r>
      <w:r w:rsidR="002C30C1" w:rsidRPr="00C35E5E">
        <w:t xml:space="preserve">the RRC-configured DL BWP includes both </w:t>
      </w:r>
      <w:r w:rsidR="0020670B" w:rsidRPr="00C35E5E">
        <w:t xml:space="preserve">CD-SSB </w:t>
      </w:r>
      <w:r w:rsidR="002C30C1" w:rsidRPr="00C35E5E">
        <w:t>and NCD-SSB.</w:t>
      </w:r>
      <w:bookmarkEnd w:id="12"/>
      <w:r w:rsidR="002C30C1" w:rsidRPr="00C35E5E">
        <w:t xml:space="preserve"> </w:t>
      </w:r>
    </w:p>
    <w:p w14:paraId="0F53CC1B" w14:textId="77777777" w:rsidR="005E127B" w:rsidRDefault="005E127B" w:rsidP="005E127B"/>
    <w:p w14:paraId="4F218EB1" w14:textId="3305DB5F" w:rsidR="00C93CAE" w:rsidRDefault="009C3C24" w:rsidP="00CE2EEC">
      <w:pPr>
        <w:pStyle w:val="Caption"/>
      </w:pPr>
      <w:bookmarkStart w:id="13" w:name="_Ref101788995"/>
      <w:r>
        <w:t xml:space="preserve">Proposal </w:t>
      </w:r>
      <w:fldSimple w:instr=" SEQ Proposal \* ARABIC ">
        <w:r w:rsidR="00643339">
          <w:rPr>
            <w:noProof/>
          </w:rPr>
          <w:t>5</w:t>
        </w:r>
      </w:fldSimple>
      <w:r>
        <w:t xml:space="preserve">: </w:t>
      </w:r>
      <w:r w:rsidRPr="009C3C24">
        <w:t xml:space="preserve">If a UL BWP configured with RACH occasions and it is paired with an RRC-configured DL BWP that </w:t>
      </w:r>
      <w:r>
        <w:t>includes no SSB</w:t>
      </w:r>
      <w:r w:rsidRPr="009C3C24">
        <w:t>, UE uses CD-SSB for determining valid RACH occasions in TDD.</w:t>
      </w:r>
      <w:bookmarkEnd w:id="13"/>
    </w:p>
    <w:p w14:paraId="21701F40" w14:textId="37E563EC" w:rsidR="00F577BD" w:rsidRPr="00B66285" w:rsidRDefault="00F577BD" w:rsidP="00F577BD">
      <w:pPr>
        <w:pStyle w:val="Caption"/>
      </w:pPr>
      <w:bookmarkStart w:id="14" w:name="_Ref101789003"/>
      <w:r>
        <w:t xml:space="preserve">Proposal </w:t>
      </w:r>
      <w:fldSimple w:instr=" SEQ Proposal \* ARABIC ">
        <w:r w:rsidR="00643339">
          <w:rPr>
            <w:noProof/>
          </w:rPr>
          <w:t>6</w:t>
        </w:r>
      </w:fldSimple>
      <w:r>
        <w:t xml:space="preserve">: </w:t>
      </w:r>
      <w:r w:rsidRPr="009C3C24">
        <w:t>If a UL BWP configured with RACH occasions and it is paired with a</w:t>
      </w:r>
      <w:r w:rsidR="00CA5FE5">
        <w:t xml:space="preserve"> non-</w:t>
      </w:r>
      <w:r w:rsidRPr="009C3C24">
        <w:t>RRC-configured DL BWP, UE uses CD-SSB for determining valid RACH occasions in TDD.</w:t>
      </w:r>
      <w:bookmarkEnd w:id="14"/>
    </w:p>
    <w:p w14:paraId="39237C9B" w14:textId="4C0559CF" w:rsidR="00F577BD" w:rsidRDefault="00F577BD" w:rsidP="00C93CAE"/>
    <w:p w14:paraId="52A96788" w14:textId="53571828" w:rsidR="00E771A2" w:rsidRDefault="00264C50" w:rsidP="00C93CAE">
      <w:r>
        <w:t xml:space="preserve">Regarding PDSCH rate matching to </w:t>
      </w:r>
      <w:r w:rsidR="00F36A8E">
        <w:t xml:space="preserve">SSB, </w:t>
      </w:r>
      <w:r w:rsidR="005D5AD6">
        <w:t xml:space="preserve">since there is at most one SSB known/configured to the UE on a BWP, </w:t>
      </w:r>
      <w:r w:rsidR="00C53084">
        <w:t xml:space="preserve">we think it is reasonable to </w:t>
      </w:r>
      <w:r w:rsidR="006B791E">
        <w:t xml:space="preserve">rate match around NCD-SSB when </w:t>
      </w:r>
      <w:r w:rsidR="00146E19">
        <w:t xml:space="preserve">receiving PDSCH. </w:t>
      </w:r>
      <w:r w:rsidR="002222B4">
        <w:t xml:space="preserve">Though </w:t>
      </w:r>
      <w:r w:rsidR="00CF3F37">
        <w:t xml:space="preserve">RAN2 has agreed at most one SSB is configured to UE for a BWP, it is not clear whether a DL BWP can include more than one SSB from the network perspective. For example, </w:t>
      </w:r>
      <w:r w:rsidR="00EC6629">
        <w:t xml:space="preserve">NCD-SSB may be configured to a UE on a dedicated DL BWP while there </w:t>
      </w:r>
      <w:r w:rsidR="00812727">
        <w:t xml:space="preserve">is another NCD-SSB or CD-SSB on the frequency range of the DL BWP that is unknown to the UE. </w:t>
      </w:r>
      <w:r w:rsidR="00E771A2">
        <w:t xml:space="preserve">In this case, UE should not be expected to detect the unknown SSB from the serving and rate match around it. </w:t>
      </w:r>
      <w:r w:rsidR="001B070B">
        <w:t xml:space="preserve">Instead, the network should </w:t>
      </w:r>
      <w:r w:rsidR="001369D7">
        <w:t>provide the UE</w:t>
      </w:r>
      <w:r w:rsidR="001F39B1">
        <w:t xml:space="preserve"> </w:t>
      </w:r>
      <w:r w:rsidR="00524697" w:rsidRPr="001F39B1">
        <w:rPr>
          <w:i/>
          <w:iCs/>
        </w:rPr>
        <w:t>rateMatchPattern</w:t>
      </w:r>
      <w:r w:rsidR="001F39B1">
        <w:t xml:space="preserve"> to rate match around an unknown SSB. </w:t>
      </w:r>
      <w:r w:rsidR="00E771A2">
        <w:t xml:space="preserve">We hence have the following proposal. </w:t>
      </w:r>
    </w:p>
    <w:p w14:paraId="04532A87" w14:textId="1EBBEEC0" w:rsidR="00264C50" w:rsidRPr="00F577BD" w:rsidRDefault="00D55838" w:rsidP="006924EA">
      <w:pPr>
        <w:pStyle w:val="Caption"/>
      </w:pPr>
      <w:bookmarkStart w:id="15" w:name="_Ref101789010"/>
      <w:bookmarkStart w:id="16" w:name="_Ref101789086"/>
      <w:r>
        <w:t xml:space="preserve">Proposal </w:t>
      </w:r>
      <w:fldSimple w:instr=" SEQ Proposal \* ARABIC ">
        <w:r w:rsidR="00643339">
          <w:rPr>
            <w:noProof/>
          </w:rPr>
          <w:t>7</w:t>
        </w:r>
      </w:fldSimple>
      <w:r w:rsidR="00F216AC">
        <w:t xml:space="preserve">: </w:t>
      </w:r>
      <w:r w:rsidR="00F216AC" w:rsidRPr="00F216AC">
        <w:t>PDSCH can be rate matched to NCD-SSB configured to the BWP for the UE.</w:t>
      </w:r>
      <w:bookmarkEnd w:id="15"/>
      <w:r w:rsidR="00F216AC" w:rsidRPr="00F216AC">
        <w:t xml:space="preserve"> </w:t>
      </w:r>
      <w:r w:rsidR="006924EA">
        <w:t xml:space="preserve">Additionally, </w:t>
      </w:r>
      <w:r w:rsidR="00061BBC" w:rsidRPr="00061BBC">
        <w:t>RedCap UE is not expected to rate match unknown SSB from the serving cell in the BWP without being given</w:t>
      </w:r>
      <w:r w:rsidR="00FD4913">
        <w:t xml:space="preserve"> the</w:t>
      </w:r>
      <w:r w:rsidR="00061BBC" w:rsidRPr="00061BBC">
        <w:t xml:space="preserve"> corresponding rate match pattern.</w:t>
      </w:r>
      <w:bookmarkEnd w:id="16"/>
      <w:r w:rsidR="00061BBC" w:rsidRPr="00061BBC">
        <w:t xml:space="preserve"> </w:t>
      </w:r>
    </w:p>
    <w:p w14:paraId="01377ACA" w14:textId="614E6A9C" w:rsidR="003F3EBF" w:rsidRDefault="003F3EBF" w:rsidP="003F3EBF">
      <w:pPr>
        <w:pStyle w:val="Heading1"/>
        <w:jc w:val="both"/>
        <w:rPr>
          <w:lang w:val="en-US" w:eastAsia="zh-CN"/>
        </w:rPr>
      </w:pPr>
      <w:r w:rsidRPr="006B4B4A">
        <w:rPr>
          <w:lang w:val="en-US" w:eastAsia="zh-CN"/>
        </w:rPr>
        <w:t>Conclusions</w:t>
      </w:r>
    </w:p>
    <w:p w14:paraId="40F6E2FE" w14:textId="6DD37CD3" w:rsidR="00E22596" w:rsidRDefault="007C636C" w:rsidP="009645C0">
      <w:pPr>
        <w:rPr>
          <w:rFonts w:eastAsia="SimSun"/>
          <w:lang w:eastAsia="zh-CN"/>
        </w:rPr>
      </w:pPr>
      <w:r>
        <w:rPr>
          <w:rFonts w:eastAsia="SimSun" w:hint="eastAsia"/>
          <w:lang w:eastAsia="zh-CN"/>
        </w:rPr>
        <w:t>I</w:t>
      </w:r>
      <w:r>
        <w:rPr>
          <w:rFonts w:eastAsia="SimSun"/>
          <w:lang w:eastAsia="zh-CN"/>
        </w:rPr>
        <w:t xml:space="preserve">n this contribution, we have made the following </w:t>
      </w:r>
      <w:r w:rsidR="00EF26ED">
        <w:rPr>
          <w:rFonts w:eastAsia="SimSun"/>
          <w:lang w:eastAsia="zh-CN"/>
        </w:rPr>
        <w:t xml:space="preserve">observations and proposals. </w:t>
      </w:r>
    </w:p>
    <w:p w14:paraId="656891C0" w14:textId="1B82C12D" w:rsidR="00EF26ED" w:rsidRPr="00CB19E9" w:rsidRDefault="00802215" w:rsidP="009645C0">
      <w:pPr>
        <w:rPr>
          <w:rFonts w:eastAsia="SimSun"/>
          <w:b/>
          <w:bCs/>
          <w:lang w:eastAsia="zh-CN"/>
        </w:rPr>
      </w:pPr>
      <w:r w:rsidRPr="00CB19E9">
        <w:rPr>
          <w:rFonts w:eastAsia="SimSun"/>
          <w:b/>
          <w:bCs/>
          <w:lang w:eastAsia="zh-CN"/>
        </w:rPr>
        <w:lastRenderedPageBreak/>
        <w:fldChar w:fldCharType="begin"/>
      </w:r>
      <w:r w:rsidRPr="00CB19E9">
        <w:rPr>
          <w:rFonts w:eastAsia="SimSun"/>
          <w:b/>
          <w:bCs/>
          <w:lang w:eastAsia="zh-CN"/>
        </w:rPr>
        <w:instrText xml:space="preserve"> </w:instrText>
      </w:r>
      <w:r w:rsidRPr="00CB19E9">
        <w:rPr>
          <w:rFonts w:eastAsia="SimSun" w:hint="eastAsia"/>
          <w:b/>
          <w:bCs/>
          <w:lang w:eastAsia="zh-CN"/>
        </w:rPr>
        <w:instrText>REF _Ref101788930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Observation </w:t>
      </w:r>
      <w:r w:rsidR="00643339" w:rsidRPr="00643339">
        <w:rPr>
          <w:b/>
          <w:bCs/>
          <w:noProof/>
        </w:rPr>
        <w:t>1</w:t>
      </w:r>
      <w:r w:rsidR="00643339" w:rsidRPr="00643339">
        <w:rPr>
          <w:b/>
          <w:bCs/>
        </w:rPr>
        <w:t>: Common search space (CSS) sets such as Type1-PDCCH (</w:t>
      </w:r>
      <w:r w:rsidR="00643339" w:rsidRPr="00643339">
        <w:rPr>
          <w:b/>
          <w:bCs/>
          <w:i/>
          <w:iCs/>
        </w:rPr>
        <w:t>ra-SearchSpace</w:t>
      </w:r>
      <w:r w:rsidR="00643339" w:rsidRPr="00643339">
        <w:rPr>
          <w:b/>
          <w:bCs/>
        </w:rPr>
        <w:t xml:space="preserve">) and Type2-PDCCH (i.e. </w:t>
      </w:r>
      <w:r w:rsidR="00643339" w:rsidRPr="00643339">
        <w:rPr>
          <w:b/>
          <w:bCs/>
          <w:i/>
          <w:iCs/>
        </w:rPr>
        <w:t xml:space="preserve">pagingSearchSpace) are configured by pdcch-ConfigCommon </w:t>
      </w:r>
      <w:r w:rsidR="00643339" w:rsidRPr="00643339">
        <w:rPr>
          <w:b/>
          <w:bCs/>
        </w:rPr>
        <w:t>which</w:t>
      </w:r>
      <w:r w:rsidR="00643339" w:rsidRPr="00643339">
        <w:rPr>
          <w:b/>
          <w:bCs/>
          <w:i/>
          <w:iCs/>
        </w:rPr>
        <w:t xml:space="preserve"> </w:t>
      </w:r>
      <w:r w:rsidR="00643339" w:rsidRPr="00643339">
        <w:rPr>
          <w:b/>
          <w:bCs/>
        </w:rPr>
        <w:t xml:space="preserve">is a child IE of </w:t>
      </w:r>
      <w:r w:rsidR="00643339" w:rsidRPr="00643339">
        <w:rPr>
          <w:b/>
          <w:bCs/>
          <w:i/>
          <w:iCs/>
        </w:rPr>
        <w:t>BWP-DownlinkCommon.</w:t>
      </w:r>
      <w:r w:rsidRPr="00CB19E9">
        <w:rPr>
          <w:rFonts w:eastAsia="SimSun"/>
          <w:b/>
          <w:bCs/>
          <w:lang w:eastAsia="zh-CN"/>
        </w:rPr>
        <w:fldChar w:fldCharType="end"/>
      </w:r>
    </w:p>
    <w:p w14:paraId="47583DBE" w14:textId="12329809" w:rsidR="00802215" w:rsidRPr="00CB19E9" w:rsidRDefault="00802215"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_Ref101788938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Observation </w:t>
      </w:r>
      <w:r w:rsidR="00643339" w:rsidRPr="00643339">
        <w:rPr>
          <w:b/>
          <w:bCs/>
          <w:noProof/>
        </w:rPr>
        <w:t>2</w:t>
      </w:r>
      <w:r w:rsidR="00643339" w:rsidRPr="00643339">
        <w:rPr>
          <w:b/>
          <w:bCs/>
        </w:rPr>
        <w:t>: TRS is not available to a connected UE in an initial DL BWP by BWP#0 configuration option 1.</w:t>
      </w:r>
      <w:r w:rsidRPr="00CB19E9">
        <w:rPr>
          <w:rFonts w:eastAsia="SimSun"/>
          <w:b/>
          <w:bCs/>
          <w:lang w:eastAsia="zh-CN"/>
        </w:rPr>
        <w:fldChar w:fldCharType="end"/>
      </w:r>
    </w:p>
    <w:p w14:paraId="2E88FB87" w14:textId="0D8331D4" w:rsidR="00802215" w:rsidRPr="00CB19E9" w:rsidRDefault="00802215"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_Ref101788945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Observation </w:t>
      </w:r>
      <w:r w:rsidR="00643339" w:rsidRPr="00643339">
        <w:rPr>
          <w:b/>
          <w:bCs/>
          <w:noProof/>
        </w:rPr>
        <w:t>3</w:t>
      </w:r>
      <w:r w:rsidR="00643339" w:rsidRPr="00643339">
        <w:rPr>
          <w:b/>
          <w:bCs/>
        </w:rPr>
        <w:t>: When UE is operating in an initial DL BWP by BWP#0 configuration option 1 and if the BWP does not contain SSB, UE cannot perform DL synchronization due to the lack of SSB and TRS.</w:t>
      </w:r>
      <w:r w:rsidRPr="00CB19E9">
        <w:rPr>
          <w:rFonts w:eastAsia="SimSun"/>
          <w:b/>
          <w:bCs/>
          <w:lang w:eastAsia="zh-CN"/>
        </w:rPr>
        <w:fldChar w:fldCharType="end"/>
      </w:r>
    </w:p>
    <w:p w14:paraId="2E9B30E4" w14:textId="35963743" w:rsidR="00802215" w:rsidRDefault="00802215" w:rsidP="009645C0">
      <w:pPr>
        <w:rPr>
          <w:rFonts w:eastAsia="SimSun"/>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_Ref101788952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Observation </w:t>
      </w:r>
      <w:r w:rsidR="00643339" w:rsidRPr="00643339">
        <w:rPr>
          <w:b/>
          <w:bCs/>
          <w:noProof/>
        </w:rPr>
        <w:t>4</w:t>
      </w:r>
      <w:r w:rsidR="00643339" w:rsidRPr="00643339">
        <w:rPr>
          <w:b/>
          <w:bCs/>
        </w:rPr>
        <w:t>: When operating in an initial DL BWP w/o SSB, UE in connected mode suffers more performance and throughput loss than in initial access/idle/inactive mode.</w:t>
      </w:r>
      <w:r w:rsidRPr="00CB19E9">
        <w:rPr>
          <w:rFonts w:eastAsia="SimSun"/>
          <w:b/>
          <w:bCs/>
          <w:lang w:eastAsia="zh-CN"/>
        </w:rPr>
        <w:fldChar w:fldCharType="end"/>
      </w:r>
    </w:p>
    <w:p w14:paraId="0C56B5B9" w14:textId="75862703" w:rsidR="00802215" w:rsidRDefault="00802215" w:rsidP="009645C0">
      <w:pPr>
        <w:rPr>
          <w:rFonts w:eastAsia="SimSun"/>
          <w:lang w:eastAsia="zh-CN"/>
        </w:rPr>
      </w:pPr>
    </w:p>
    <w:p w14:paraId="36938FC2" w14:textId="1EB8A148" w:rsidR="00802215" w:rsidRPr="00CB19E9" w:rsidRDefault="0073730A"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_Ref101788963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1</w:t>
      </w:r>
      <w:r w:rsidR="00643339" w:rsidRPr="00643339">
        <w:rPr>
          <w:b/>
          <w:bCs/>
        </w:rPr>
        <w:t xml:space="preserve">: When the initial DL BWP for non-RedCap UEs is wider than RedCap UE’s maximum bandwidth, RedCap UEs don't need to read the </w:t>
      </w:r>
      <w:r w:rsidR="00643339" w:rsidRPr="00643339">
        <w:rPr>
          <w:b/>
          <w:bCs/>
          <w:i/>
          <w:iCs/>
        </w:rPr>
        <w:t xml:space="preserve">PDCCH-ConfigCommon </w:t>
      </w:r>
      <w:r w:rsidR="00643339" w:rsidRPr="00643339">
        <w:rPr>
          <w:b/>
          <w:bCs/>
        </w:rPr>
        <w:t>configuration from the initial DL BWP configured for non-RedCap UEs.</w:t>
      </w:r>
      <w:r w:rsidRPr="00CB19E9">
        <w:rPr>
          <w:rFonts w:eastAsia="SimSun"/>
          <w:b/>
          <w:bCs/>
          <w:lang w:eastAsia="zh-CN"/>
        </w:rPr>
        <w:fldChar w:fldCharType="end"/>
      </w:r>
    </w:p>
    <w:p w14:paraId="3E17DB51" w14:textId="20F5B8C6" w:rsidR="0073730A" w:rsidRPr="00CB19E9" w:rsidRDefault="00E36BB0"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_Ref101788969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2</w:t>
      </w:r>
      <w:r w:rsidR="00643339" w:rsidRPr="00643339">
        <w:rPr>
          <w:b/>
          <w:bCs/>
        </w:rPr>
        <w:t xml:space="preserve">: For the case that the initial DL BWP for non-RedCap UEs is wider than the maximum RedCap UE bandwidth, a SIB1-configured RedCap-specific initial DL BWP (i.e. </w:t>
      </w:r>
      <w:r w:rsidR="00643339" w:rsidRPr="00643339">
        <w:rPr>
          <w:b/>
          <w:bCs/>
          <w:i/>
          <w:iCs/>
        </w:rPr>
        <w:t>initialDownlinkBWP-RedCap-r17</w:t>
      </w:r>
      <w:r w:rsidR="00643339" w:rsidRPr="00643339">
        <w:rPr>
          <w:b/>
          <w:bCs/>
        </w:rPr>
        <w:t>) is always provided to RedCap UEs.</w:t>
      </w:r>
      <w:r w:rsidRPr="00CB19E9">
        <w:rPr>
          <w:rFonts w:eastAsia="SimSun"/>
          <w:b/>
          <w:bCs/>
          <w:lang w:eastAsia="zh-CN"/>
        </w:rPr>
        <w:fldChar w:fldCharType="end"/>
      </w:r>
    </w:p>
    <w:p w14:paraId="3CDC53B3" w14:textId="77777777" w:rsidR="004D76F9" w:rsidRPr="00190E17" w:rsidRDefault="004D76F9" w:rsidP="004D76F9">
      <w:pPr>
        <w:pStyle w:val="ListParagraph"/>
        <w:numPr>
          <w:ilvl w:val="0"/>
          <w:numId w:val="34"/>
        </w:numPr>
        <w:ind w:firstLineChars="0"/>
        <w:rPr>
          <w:rFonts w:eastAsiaTheme="minorEastAsia"/>
          <w:b/>
          <w:bCs/>
          <w:sz w:val="20"/>
          <w:szCs w:val="20"/>
          <w:lang w:eastAsia="zh-TW"/>
        </w:rPr>
      </w:pPr>
      <w:r>
        <w:rPr>
          <w:rFonts w:eastAsiaTheme="minorEastAsia"/>
          <w:b/>
          <w:bCs/>
          <w:sz w:val="20"/>
          <w:szCs w:val="20"/>
          <w:lang w:eastAsia="zh-TW"/>
        </w:rPr>
        <w:t xml:space="preserve">In addition, </w:t>
      </w:r>
      <w:r w:rsidRPr="00176161">
        <w:rPr>
          <w:rFonts w:eastAsiaTheme="minorEastAsia"/>
          <w:b/>
          <w:bCs/>
          <w:i/>
          <w:iCs/>
          <w:sz w:val="20"/>
          <w:szCs w:val="20"/>
          <w:lang w:eastAsia="zh-TW"/>
        </w:rPr>
        <w:t>pdcch-ConfigCommon</w:t>
      </w:r>
      <w:r>
        <w:rPr>
          <w:rFonts w:eastAsiaTheme="minorEastAsia"/>
          <w:b/>
          <w:bCs/>
          <w:sz w:val="20"/>
          <w:szCs w:val="20"/>
          <w:lang w:eastAsia="zh-TW"/>
        </w:rPr>
        <w:t xml:space="preserve"> and </w:t>
      </w:r>
      <w:r w:rsidRPr="00190E17">
        <w:rPr>
          <w:rFonts w:eastAsiaTheme="minorEastAsia"/>
          <w:b/>
          <w:bCs/>
          <w:i/>
          <w:iCs/>
          <w:sz w:val="20"/>
          <w:szCs w:val="20"/>
          <w:lang w:eastAsia="zh-TW"/>
        </w:rPr>
        <w:t>pagingSearchSpace</w:t>
      </w:r>
      <w:r w:rsidRPr="00190E17">
        <w:rPr>
          <w:rFonts w:eastAsiaTheme="minorEastAsia"/>
          <w:b/>
          <w:bCs/>
          <w:sz w:val="20"/>
          <w:szCs w:val="20"/>
          <w:lang w:eastAsia="zh-TW"/>
        </w:rPr>
        <w:t xml:space="preserve"> </w:t>
      </w:r>
      <w:r>
        <w:rPr>
          <w:rFonts w:eastAsiaTheme="minorEastAsia"/>
          <w:b/>
          <w:bCs/>
          <w:sz w:val="20"/>
          <w:szCs w:val="20"/>
          <w:lang w:eastAsia="zh-TW"/>
        </w:rPr>
        <w:t>are</w:t>
      </w:r>
      <w:r w:rsidRPr="00190E17">
        <w:rPr>
          <w:rFonts w:eastAsiaTheme="minorEastAsia"/>
          <w:b/>
          <w:bCs/>
          <w:sz w:val="20"/>
          <w:szCs w:val="20"/>
          <w:lang w:eastAsia="zh-TW"/>
        </w:rPr>
        <w:t xml:space="preserve"> always configured in the SIB1-configured RedCap-specific initial DL BWP</w:t>
      </w:r>
      <w:r>
        <w:rPr>
          <w:rFonts w:eastAsiaTheme="minorEastAsia"/>
          <w:b/>
          <w:bCs/>
          <w:sz w:val="20"/>
          <w:szCs w:val="20"/>
          <w:lang w:eastAsia="zh-TW"/>
        </w:rPr>
        <w:t xml:space="preserve"> in this case. </w:t>
      </w:r>
    </w:p>
    <w:p w14:paraId="6B83D3CA" w14:textId="77777777" w:rsidR="004D76F9" w:rsidRPr="00190E17" w:rsidRDefault="004D76F9" w:rsidP="004D76F9">
      <w:pPr>
        <w:pStyle w:val="ListParagraph"/>
        <w:numPr>
          <w:ilvl w:val="0"/>
          <w:numId w:val="34"/>
        </w:numPr>
        <w:ind w:firstLineChars="0"/>
        <w:rPr>
          <w:rFonts w:eastAsiaTheme="minorEastAsia"/>
          <w:b/>
          <w:bCs/>
          <w:sz w:val="20"/>
          <w:szCs w:val="20"/>
          <w:lang w:eastAsia="zh-TW"/>
        </w:rPr>
      </w:pPr>
      <w:r w:rsidRPr="00190E17">
        <w:rPr>
          <w:b/>
          <w:bCs/>
          <w:sz w:val="20"/>
          <w:szCs w:val="20"/>
        </w:rPr>
        <w:t>Note: For TDD, the center frequencies of the separate initial DL BWP and the initial UL BWP are aligned per an earlier agreement.</w:t>
      </w:r>
    </w:p>
    <w:p w14:paraId="2F2D5A7A" w14:textId="77777777" w:rsidR="004D76F9" w:rsidRPr="004D76F9" w:rsidRDefault="004D76F9" w:rsidP="009645C0">
      <w:pPr>
        <w:rPr>
          <w:rFonts w:eastAsia="SimSun"/>
          <w:lang w:eastAsia="zh-CN"/>
        </w:rPr>
      </w:pPr>
    </w:p>
    <w:p w14:paraId="580ED2A5" w14:textId="6F4E16EC" w:rsidR="00E36BB0" w:rsidRPr="00CB19E9" w:rsidRDefault="00E36BB0"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_Ref101788981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3</w:t>
      </w:r>
      <w:r w:rsidR="00643339" w:rsidRPr="00643339">
        <w:rPr>
          <w:b/>
          <w:bCs/>
        </w:rPr>
        <w:t>: Option 1 in Proposal 3-1h is supported by UE that supports only FG 6-1 but not FG 6-1a while Option 2 can be supported by UE that supports FG 6-1a.</w:t>
      </w:r>
      <w:r w:rsidRPr="00CB19E9">
        <w:rPr>
          <w:rFonts w:eastAsia="SimSun"/>
          <w:b/>
          <w:bCs/>
          <w:lang w:eastAsia="zh-CN"/>
        </w:rPr>
        <w:fldChar w:fldCharType="end"/>
      </w:r>
    </w:p>
    <w:p w14:paraId="7A44097D" w14:textId="2ED0D27C" w:rsidR="00A03D43" w:rsidRPr="00CB19E9" w:rsidRDefault="00D56AE1"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REF _Ref101789165 \h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4</w:t>
      </w:r>
      <w:r w:rsidR="00643339" w:rsidRPr="00643339">
        <w:rPr>
          <w:b/>
          <w:bCs/>
        </w:rPr>
        <w:t>: If a UL BWP configured with RACH occasions and it is paired with an RRC-configured DL BWP that is configured with NCD-SSB or includes CD-SSB, UE uses the configured NCD-SSB or CD-SSB for determining valid RACH occasions in TDD. Additionally, UE does not expect the RRC-configured DL BWP includes both CD-SSB and NCD-SSB.</w:t>
      </w:r>
      <w:r w:rsidRPr="00CB19E9">
        <w:rPr>
          <w:rFonts w:eastAsia="SimSun"/>
          <w:b/>
          <w:bCs/>
          <w:lang w:eastAsia="zh-CN"/>
        </w:rPr>
        <w:fldChar w:fldCharType="end"/>
      </w:r>
    </w:p>
    <w:p w14:paraId="32992A98" w14:textId="7E638778" w:rsidR="00E36BB0" w:rsidRPr="00CB19E9" w:rsidRDefault="00E36BB0"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_Ref101788995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5</w:t>
      </w:r>
      <w:r w:rsidR="00643339" w:rsidRPr="00643339">
        <w:rPr>
          <w:b/>
          <w:bCs/>
        </w:rPr>
        <w:t>: If a UL BWP configured with RACH occasions and it is paired with an RRC-configured DL BWP that includes no SSB, UE uses CD-SSB for determining valid RACH occasions in TDD.</w:t>
      </w:r>
      <w:r w:rsidRPr="00CB19E9">
        <w:rPr>
          <w:rFonts w:eastAsia="SimSun"/>
          <w:b/>
          <w:bCs/>
          <w:lang w:eastAsia="zh-CN"/>
        </w:rPr>
        <w:fldChar w:fldCharType="end"/>
      </w:r>
    </w:p>
    <w:p w14:paraId="021075DB" w14:textId="72FB1805" w:rsidR="00E36BB0" w:rsidRPr="00CB19E9" w:rsidRDefault="00E36BB0"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w:instrText>
      </w:r>
      <w:r w:rsidRPr="00CB19E9">
        <w:rPr>
          <w:rFonts w:eastAsia="SimSun" w:hint="eastAsia"/>
          <w:b/>
          <w:bCs/>
          <w:lang w:eastAsia="zh-CN"/>
        </w:rPr>
        <w:instrText>REF _Ref101789003 \h</w:instrText>
      </w:r>
      <w:r w:rsidRPr="00CB19E9">
        <w:rPr>
          <w:rFonts w:eastAsia="SimSun"/>
          <w:b/>
          <w:bCs/>
          <w:lang w:eastAsia="zh-CN"/>
        </w:rPr>
        <w:instrText xml:space="preserve">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6</w:t>
      </w:r>
      <w:r w:rsidR="00643339" w:rsidRPr="00643339">
        <w:rPr>
          <w:b/>
          <w:bCs/>
        </w:rPr>
        <w:t>: If a UL BWP configured with RACH occasions and it is paired with a non-RRC-configured DL BWP, UE uses CD-SSB for determining valid RACH occasions in TDD.</w:t>
      </w:r>
      <w:r w:rsidRPr="00CB19E9">
        <w:rPr>
          <w:rFonts w:eastAsia="SimSun"/>
          <w:b/>
          <w:bCs/>
          <w:lang w:eastAsia="zh-CN"/>
        </w:rPr>
        <w:fldChar w:fldCharType="end"/>
      </w:r>
    </w:p>
    <w:p w14:paraId="055F66E7" w14:textId="19C39BDE" w:rsidR="00457548" w:rsidRPr="00CB19E9" w:rsidRDefault="00457548" w:rsidP="009645C0">
      <w:pPr>
        <w:rPr>
          <w:rFonts w:eastAsia="SimSun"/>
          <w:b/>
          <w:bCs/>
          <w:lang w:eastAsia="zh-CN"/>
        </w:rPr>
      </w:pPr>
      <w:r w:rsidRPr="00CB19E9">
        <w:rPr>
          <w:rFonts w:eastAsia="SimSun"/>
          <w:b/>
          <w:bCs/>
          <w:lang w:eastAsia="zh-CN"/>
        </w:rPr>
        <w:fldChar w:fldCharType="begin"/>
      </w:r>
      <w:r w:rsidRPr="00CB19E9">
        <w:rPr>
          <w:rFonts w:eastAsia="SimSun"/>
          <w:b/>
          <w:bCs/>
          <w:lang w:eastAsia="zh-CN"/>
        </w:rPr>
        <w:instrText xml:space="preserve"> REF _Ref101789086 \h </w:instrText>
      </w:r>
      <w:r w:rsidR="00CB19E9">
        <w:rPr>
          <w:rFonts w:eastAsia="SimSun"/>
          <w:b/>
          <w:bCs/>
          <w:lang w:eastAsia="zh-CN"/>
        </w:rPr>
        <w:instrText xml:space="preserve"> \* MERGEFORMAT </w:instrText>
      </w:r>
      <w:r w:rsidRPr="00CB19E9">
        <w:rPr>
          <w:rFonts w:eastAsia="SimSun"/>
          <w:b/>
          <w:bCs/>
          <w:lang w:eastAsia="zh-CN"/>
        </w:rPr>
      </w:r>
      <w:r w:rsidRPr="00CB19E9">
        <w:rPr>
          <w:rFonts w:eastAsia="SimSun"/>
          <w:b/>
          <w:bCs/>
          <w:lang w:eastAsia="zh-CN"/>
        </w:rPr>
        <w:fldChar w:fldCharType="separate"/>
      </w:r>
      <w:r w:rsidR="00643339" w:rsidRPr="00643339">
        <w:rPr>
          <w:b/>
          <w:bCs/>
        </w:rPr>
        <w:t xml:space="preserve">Proposal </w:t>
      </w:r>
      <w:r w:rsidR="00643339" w:rsidRPr="00643339">
        <w:rPr>
          <w:b/>
          <w:bCs/>
          <w:noProof/>
        </w:rPr>
        <w:t>7</w:t>
      </w:r>
      <w:r w:rsidR="00643339" w:rsidRPr="00643339">
        <w:rPr>
          <w:b/>
          <w:bCs/>
        </w:rPr>
        <w:t>: PDSCH can be rate matched to NCD-SSB configured to the BWP for the UE. Additionally, RedCap UE is not expected to rate match unknown SSB from the serving cell in the BWP without being given the corresponding rate match pattern.</w:t>
      </w:r>
      <w:r w:rsidRPr="00CB19E9">
        <w:rPr>
          <w:rFonts w:eastAsia="SimSun"/>
          <w:b/>
          <w:bCs/>
          <w:lang w:eastAsia="zh-CN"/>
        </w:rPr>
        <w:fldChar w:fldCharType="end"/>
      </w:r>
    </w:p>
    <w:p w14:paraId="183F509E" w14:textId="5C111B84" w:rsidR="009C1480" w:rsidRPr="006B4B4A" w:rsidRDefault="00055B71" w:rsidP="009C1480">
      <w:pPr>
        <w:pStyle w:val="Heading1"/>
        <w:jc w:val="both"/>
        <w:rPr>
          <w:lang w:val="en-US" w:eastAsia="zh-CN"/>
        </w:rPr>
      </w:pPr>
      <w:r w:rsidRPr="006B4B4A">
        <w:rPr>
          <w:lang w:val="en-US" w:eastAsia="zh-CN"/>
        </w:rPr>
        <w:t>Reference</w:t>
      </w:r>
      <w:r w:rsidR="00E1545E">
        <w:rPr>
          <w:lang w:val="en-US" w:eastAsia="zh-CN"/>
        </w:rPr>
        <w:t>s</w:t>
      </w:r>
    </w:p>
    <w:p w14:paraId="50047C30" w14:textId="14EF002C" w:rsidR="00055B71" w:rsidRPr="006B4B4A" w:rsidRDefault="0050518F" w:rsidP="008F1A17">
      <w:pPr>
        <w:numPr>
          <w:ilvl w:val="0"/>
          <w:numId w:val="12"/>
        </w:numPr>
        <w:overflowPunct/>
        <w:autoSpaceDE/>
        <w:autoSpaceDN/>
        <w:adjustRightInd/>
        <w:spacing w:after="120"/>
        <w:textAlignment w:val="auto"/>
      </w:pPr>
      <w:bookmarkStart w:id="17" w:name="_Ref95547977"/>
      <w:bookmarkStart w:id="18" w:name="_Ref528853922"/>
      <w:bookmarkStart w:id="19" w:name="_Ref481596356"/>
      <w:bookmarkStart w:id="20" w:name="_Ref481781528"/>
      <w:bookmarkStart w:id="21" w:name="_Ref481782557"/>
      <w:bookmarkStart w:id="22" w:name="_Ref101789663"/>
      <w:r w:rsidRPr="00114550">
        <w:t>R1</w:t>
      </w:r>
      <w:r w:rsidR="009B7B10">
        <w:t>-220</w:t>
      </w:r>
      <w:r w:rsidR="002B4A6A">
        <w:t>2532</w:t>
      </w:r>
      <w:r w:rsidRPr="006B4B4A">
        <w:t>, “</w:t>
      </w:r>
      <w:r w:rsidR="002B4A6A" w:rsidRPr="002B4A6A">
        <w:t>FL summary #5 on reduced maximum UE bandwidth for RedCap</w:t>
      </w:r>
      <w:r w:rsidR="00814DD0">
        <w:t>,</w:t>
      </w:r>
      <w:r w:rsidRPr="006B4B4A">
        <w:t>”</w:t>
      </w:r>
      <w:bookmarkEnd w:id="17"/>
      <w:r w:rsidR="00814DD0" w:rsidRPr="00814DD0">
        <w:t xml:space="preserve"> 3GPP TSG-RAN WG1 Meeting #108-e</w:t>
      </w:r>
      <w:r w:rsidR="00814DD0">
        <w:t xml:space="preserve">, </w:t>
      </w:r>
      <w:r w:rsidR="00931F5F">
        <w:rPr>
          <w:lang w:eastAsia="en-US"/>
        </w:rPr>
        <w:t>February</w:t>
      </w:r>
      <w:r w:rsidR="00931F5F">
        <w:t xml:space="preserve"> </w:t>
      </w:r>
      <w:r w:rsidR="00814DD0">
        <w:t>2022</w:t>
      </w:r>
      <w:bookmarkEnd w:id="18"/>
      <w:bookmarkEnd w:id="19"/>
      <w:bookmarkEnd w:id="20"/>
      <w:bookmarkEnd w:id="21"/>
      <w:bookmarkEnd w:id="22"/>
    </w:p>
    <w:sectPr w:rsidR="00055B71" w:rsidRPr="006B4B4A"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64B11" w14:textId="77777777" w:rsidR="00113CA6" w:rsidRDefault="00113CA6">
      <w:r>
        <w:separator/>
      </w:r>
    </w:p>
  </w:endnote>
  <w:endnote w:type="continuationSeparator" w:id="0">
    <w:p w14:paraId="1B66FCE3" w14:textId="77777777" w:rsidR="00113CA6" w:rsidRDefault="0011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68800" w14:textId="77777777" w:rsidR="00113CA6" w:rsidRDefault="00113CA6">
      <w:r>
        <w:separator/>
      </w:r>
    </w:p>
  </w:footnote>
  <w:footnote w:type="continuationSeparator" w:id="0">
    <w:p w14:paraId="3411EE99" w14:textId="77777777" w:rsidR="00113CA6" w:rsidRDefault="00113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0593A"/>
    <w:multiLevelType w:val="hybridMultilevel"/>
    <w:tmpl w:val="8EE0CBC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45593"/>
    <w:multiLevelType w:val="hybridMultilevel"/>
    <w:tmpl w:val="C4DEEBC2"/>
    <w:lvl w:ilvl="0" w:tplc="0409000F">
      <w:start w:val="1"/>
      <w:numFmt w:val="decimal"/>
      <w:lvlText w:val="%1."/>
      <w:lvlJc w:val="left"/>
      <w:pPr>
        <w:ind w:left="480" w:hanging="480"/>
      </w:pPr>
    </w:lvl>
    <w:lvl w:ilvl="1" w:tplc="08090001">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72EF2"/>
    <w:multiLevelType w:val="hybridMultilevel"/>
    <w:tmpl w:val="4972106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A07C7A"/>
    <w:multiLevelType w:val="hybridMultilevel"/>
    <w:tmpl w:val="6F90762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272074"/>
    <w:multiLevelType w:val="hybridMultilevel"/>
    <w:tmpl w:val="5ED0CEC6"/>
    <w:lvl w:ilvl="0" w:tplc="980C8A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4D43121"/>
    <w:multiLevelType w:val="hybridMultilevel"/>
    <w:tmpl w:val="7828FDD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AD549D"/>
    <w:multiLevelType w:val="hybridMultilevel"/>
    <w:tmpl w:val="C926689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8"/>
  </w:num>
  <w:num w:numId="4">
    <w:abstractNumId w:val="40"/>
  </w:num>
  <w:num w:numId="5">
    <w:abstractNumId w:val="2"/>
  </w:num>
  <w:num w:numId="6">
    <w:abstractNumId w:val="23"/>
  </w:num>
  <w:num w:numId="7">
    <w:abstractNumId w:val="26"/>
  </w:num>
  <w:num w:numId="8">
    <w:abstractNumId w:val="3"/>
  </w:num>
  <w:num w:numId="9">
    <w:abstractNumId w:val="11"/>
  </w:num>
  <w:num w:numId="10">
    <w:abstractNumId w:val="20"/>
  </w:num>
  <w:num w:numId="11">
    <w:abstractNumId w:val="16"/>
  </w:num>
  <w:num w:numId="12">
    <w:abstractNumId w:val="17"/>
  </w:num>
  <w:num w:numId="13">
    <w:abstractNumId w:val="29"/>
  </w:num>
  <w:num w:numId="14">
    <w:abstractNumId w:val="13"/>
  </w:num>
  <w:num w:numId="15">
    <w:abstractNumId w:val="24"/>
  </w:num>
  <w:num w:numId="16">
    <w:abstractNumId w:val="19"/>
  </w:num>
  <w:num w:numId="17">
    <w:abstractNumId w:val="6"/>
  </w:num>
  <w:num w:numId="18">
    <w:abstractNumId w:val="25"/>
  </w:num>
  <w:num w:numId="19">
    <w:abstractNumId w:val="1"/>
  </w:num>
  <w:num w:numId="20">
    <w:abstractNumId w:val="14"/>
  </w:num>
  <w:num w:numId="21">
    <w:abstractNumId w:val="33"/>
  </w:num>
  <w:num w:numId="22">
    <w:abstractNumId w:val="9"/>
  </w:num>
  <w:num w:numId="23">
    <w:abstractNumId w:val="32"/>
  </w:num>
  <w:num w:numId="24">
    <w:abstractNumId w:val="34"/>
  </w:num>
  <w:num w:numId="25">
    <w:abstractNumId w:val="28"/>
  </w:num>
  <w:num w:numId="26">
    <w:abstractNumId w:val="27"/>
  </w:num>
  <w:num w:numId="27">
    <w:abstractNumId w:val="37"/>
  </w:num>
  <w:num w:numId="28">
    <w:abstractNumId w:val="8"/>
  </w:num>
  <w:num w:numId="29">
    <w:abstractNumId w:val="12"/>
  </w:num>
  <w:num w:numId="30">
    <w:abstractNumId w:val="18"/>
  </w:num>
  <w:num w:numId="31">
    <w:abstractNumId w:val="12"/>
  </w:num>
  <w:num w:numId="32">
    <w:abstractNumId w:val="21"/>
  </w:num>
  <w:num w:numId="33">
    <w:abstractNumId w:val="0"/>
  </w:num>
  <w:num w:numId="34">
    <w:abstractNumId w:val="39"/>
  </w:num>
  <w:num w:numId="35">
    <w:abstractNumId w:val="22"/>
  </w:num>
  <w:num w:numId="36">
    <w:abstractNumId w:val="31"/>
  </w:num>
  <w:num w:numId="37">
    <w:abstractNumId w:val="35"/>
  </w:num>
  <w:num w:numId="38">
    <w:abstractNumId w:val="13"/>
  </w:num>
  <w:num w:numId="39">
    <w:abstractNumId w:val="30"/>
  </w:num>
  <w:num w:numId="40">
    <w:abstractNumId w:val="10"/>
  </w:num>
  <w:num w:numId="41">
    <w:abstractNumId w:val="7"/>
  </w:num>
  <w:num w:numId="42">
    <w:abstractNumId w:val="15"/>
  </w:num>
  <w:num w:numId="43">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76A"/>
    <w:rsid w:val="00062A3B"/>
    <w:rsid w:val="00062BF7"/>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7C"/>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E9"/>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FE5"/>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886"/>
    <w:rsid w:val="00DA193E"/>
    <w:rsid w:val="00DA1A62"/>
    <w:rsid w:val="00DA1B38"/>
    <w:rsid w:val="00DA1C66"/>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E3A"/>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27</cp:revision>
  <cp:lastPrinted>2017-10-02T09:51:00Z</cp:lastPrinted>
  <dcterms:created xsi:type="dcterms:W3CDTF">2022-04-25T06:17:00Z</dcterms:created>
  <dcterms:modified xsi:type="dcterms:W3CDTF">2022-04-25T11:32:00Z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